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216CB" w14:textId="0D5B6113" w:rsidR="005E1ED3" w:rsidRPr="0026497C" w:rsidRDefault="009C042D" w:rsidP="0026497C">
      <w:pPr>
        <w:spacing w:before="240" w:after="240"/>
        <w:jc w:val="both"/>
        <w:rPr>
          <w:rFonts w:cs="Arial"/>
          <w:b/>
          <w:szCs w:val="24"/>
        </w:rPr>
      </w:pPr>
      <w:bookmarkStart w:id="0" w:name="_Hlk210142460"/>
      <w:r w:rsidRPr="007D16D0">
        <w:rPr>
          <w:rFonts w:cs="Arial"/>
          <w:szCs w:val="24"/>
        </w:rPr>
        <w:t>Zürich</w:t>
      </w:r>
      <w:r w:rsidR="00377B67">
        <w:rPr>
          <w:rFonts w:cs="Arial"/>
          <w:szCs w:val="24"/>
        </w:rPr>
        <w:t xml:space="preserve">, </w:t>
      </w:r>
      <w:sdt>
        <w:sdtPr>
          <w:rPr>
            <w:rFonts w:cs="Arial"/>
            <w:szCs w:val="24"/>
          </w:rPr>
          <w:alias w:val="Datum"/>
          <w:tag w:val="Datum"/>
          <w:id w:val="-1979910458"/>
          <w:placeholder>
            <w:docPart w:val="8A523411A5FE4AF8BAED221D01F57ED2"/>
          </w:placeholder>
          <w15:color w:val="000000"/>
          <w:date w:fullDate="2025-10-16T00:00:00Z">
            <w:dateFormat w:val="dd.MM.yyyy"/>
            <w:lid w:val="de-CH"/>
            <w:storeMappedDataAs w:val="dateTime"/>
            <w:calendar w:val="gregorian"/>
          </w:date>
        </w:sdtPr>
        <w:sdtEndPr/>
        <w:sdtContent>
          <w:r w:rsidR="00716684">
            <w:rPr>
              <w:rFonts w:cs="Arial"/>
              <w:szCs w:val="24"/>
            </w:rPr>
            <w:t>16.10.2025</w:t>
          </w:r>
        </w:sdtContent>
      </w:sdt>
    </w:p>
    <w:p w14:paraId="6ED13978" w14:textId="77777777" w:rsidR="005E1ED3" w:rsidRPr="007D16D0" w:rsidRDefault="005E1ED3" w:rsidP="0026497C">
      <w:pPr>
        <w:autoSpaceDE w:val="0"/>
        <w:autoSpaceDN w:val="0"/>
        <w:adjustRightInd w:val="0"/>
        <w:spacing w:before="2040"/>
        <w:jc w:val="both"/>
        <w:rPr>
          <w:rFonts w:cs="Arial"/>
          <w:b/>
          <w:bCs/>
          <w:smallCaps/>
          <w:szCs w:val="24"/>
          <w:lang w:val="it-IT"/>
        </w:rPr>
      </w:pPr>
      <w:r w:rsidRPr="007D16D0">
        <w:rPr>
          <w:rFonts w:cs="Arial"/>
          <w:b/>
          <w:bCs/>
          <w:smallCaps/>
          <w:szCs w:val="24"/>
          <w:lang w:val="it-IT"/>
        </w:rPr>
        <w:t>per Mail</w:t>
      </w:r>
    </w:p>
    <w:p w14:paraId="27D3CF21" w14:textId="7B4D6FD0" w:rsidR="00377B67" w:rsidRDefault="001C2E7C" w:rsidP="00716684">
      <w:pPr>
        <w:autoSpaceDE w:val="0"/>
        <w:autoSpaceDN w:val="0"/>
        <w:adjustRightInd w:val="0"/>
        <w:ind w:left="5387" w:hanging="5387"/>
        <w:jc w:val="both"/>
        <w:rPr>
          <w:rFonts w:cs="Arial"/>
          <w:szCs w:val="24"/>
        </w:rPr>
      </w:pPr>
      <w:bookmarkStart w:id="1" w:name="Betreff"/>
      <w:r>
        <w:rPr>
          <w:rFonts w:cs="Arial"/>
          <w:szCs w:val="24"/>
        </w:rPr>
        <w:t xml:space="preserve">Eidgenössisches </w:t>
      </w:r>
      <w:r w:rsidR="00716684">
        <w:rPr>
          <w:rFonts w:cs="Arial"/>
          <w:szCs w:val="24"/>
        </w:rPr>
        <w:t>Departement</w:t>
      </w:r>
    </w:p>
    <w:p w14:paraId="5276EC79" w14:textId="5749C8CC" w:rsidR="00716684" w:rsidRDefault="00716684" w:rsidP="00716684">
      <w:pPr>
        <w:autoSpaceDE w:val="0"/>
        <w:autoSpaceDN w:val="0"/>
        <w:adjustRightInd w:val="0"/>
        <w:ind w:left="5387" w:hanging="5387"/>
        <w:jc w:val="both"/>
        <w:rPr>
          <w:rFonts w:cs="Arial"/>
          <w:szCs w:val="24"/>
        </w:rPr>
      </w:pPr>
      <w:r>
        <w:rPr>
          <w:rFonts w:cs="Arial"/>
          <w:szCs w:val="24"/>
        </w:rPr>
        <w:t>des Innern EDI</w:t>
      </w:r>
    </w:p>
    <w:p w14:paraId="616AA9AF" w14:textId="34592C1D" w:rsidR="001C2E7C" w:rsidRDefault="00716684" w:rsidP="00377B67">
      <w:pPr>
        <w:autoSpaceDE w:val="0"/>
        <w:autoSpaceDN w:val="0"/>
        <w:adjustRightInd w:val="0"/>
        <w:ind w:left="5387" w:hanging="5387"/>
        <w:jc w:val="both"/>
        <w:rPr>
          <w:rFonts w:cs="Arial"/>
          <w:szCs w:val="24"/>
        </w:rPr>
      </w:pPr>
      <w:r>
        <w:rPr>
          <w:rFonts w:cs="Arial"/>
          <w:szCs w:val="24"/>
        </w:rPr>
        <w:t xml:space="preserve">Frau Bundesrätin </w:t>
      </w:r>
    </w:p>
    <w:p w14:paraId="3F464191" w14:textId="5262E4AB" w:rsidR="00716684" w:rsidRDefault="00716684" w:rsidP="00377B67">
      <w:pPr>
        <w:autoSpaceDE w:val="0"/>
        <w:autoSpaceDN w:val="0"/>
        <w:adjustRightInd w:val="0"/>
        <w:ind w:left="5387" w:hanging="5387"/>
        <w:jc w:val="both"/>
        <w:rPr>
          <w:rFonts w:cs="Arial"/>
          <w:szCs w:val="24"/>
        </w:rPr>
      </w:pPr>
      <w:r>
        <w:rPr>
          <w:rFonts w:cs="Arial"/>
          <w:szCs w:val="24"/>
        </w:rPr>
        <w:t>Baume-Schneider</w:t>
      </w:r>
    </w:p>
    <w:p w14:paraId="29E8E812" w14:textId="6EA0962C" w:rsidR="00377B67" w:rsidRDefault="001C2E7C" w:rsidP="00377B67">
      <w:pPr>
        <w:autoSpaceDE w:val="0"/>
        <w:autoSpaceDN w:val="0"/>
        <w:adjustRightInd w:val="0"/>
        <w:spacing w:before="480"/>
        <w:ind w:left="5387" w:hanging="5387"/>
        <w:jc w:val="both"/>
        <w:rPr>
          <w:rFonts w:cs="Arial"/>
          <w:szCs w:val="24"/>
        </w:rPr>
      </w:pPr>
      <w:r>
        <w:rPr>
          <w:rFonts w:cs="Arial"/>
          <w:szCs w:val="24"/>
        </w:rPr>
        <w:t>Per E-Mail an</w:t>
      </w:r>
      <w:r w:rsidR="00377B67">
        <w:rPr>
          <w:rFonts w:cs="Arial"/>
          <w:szCs w:val="24"/>
        </w:rPr>
        <w:t>:</w:t>
      </w:r>
    </w:p>
    <w:p w14:paraId="0B72598E" w14:textId="77554548" w:rsidR="001C2E7C" w:rsidRDefault="00716684" w:rsidP="001C2E7C">
      <w:pPr>
        <w:autoSpaceDE w:val="0"/>
        <w:autoSpaceDN w:val="0"/>
        <w:adjustRightInd w:val="0"/>
        <w:ind w:left="5387" w:hanging="5387"/>
        <w:jc w:val="both"/>
        <w:rPr>
          <w:rFonts w:cs="Arial"/>
          <w:szCs w:val="24"/>
        </w:rPr>
      </w:pPr>
      <w:hyperlink r:id="rId8" w:history="1">
        <w:r w:rsidRPr="00716684">
          <w:rPr>
            <w:bCs/>
            <w:lang w:val="it-IT"/>
          </w:rPr>
          <w:t>e</w:t>
        </w:r>
        <w:r w:rsidRPr="00716684">
          <w:rPr>
            <w:lang w:val="it-IT"/>
          </w:rPr>
          <w:t>bgb@gs-edi.admin.ch</w:t>
        </w:r>
      </w:hyperlink>
    </w:p>
    <w:p w14:paraId="3C29459E" w14:textId="7539CDC2" w:rsidR="001C2E7C" w:rsidRPr="001C2E7C" w:rsidRDefault="001C2E7C" w:rsidP="001C2E7C">
      <w:pPr>
        <w:autoSpaceDE w:val="0"/>
        <w:autoSpaceDN w:val="0"/>
        <w:adjustRightInd w:val="0"/>
        <w:spacing w:before="240" w:after="240"/>
        <w:ind w:left="5387" w:hanging="5387"/>
        <w:jc w:val="both"/>
        <w:rPr>
          <w:rFonts w:cs="Arial"/>
          <w:szCs w:val="24"/>
        </w:rPr>
      </w:pPr>
      <w:r>
        <w:rPr>
          <w:rFonts w:cs="Arial"/>
          <w:szCs w:val="24"/>
        </w:rPr>
        <w:t>Dateiformat: gleichlautend als PDF und Word</w:t>
      </w:r>
    </w:p>
    <w:p w14:paraId="77791A42" w14:textId="1DAA117F" w:rsidR="00377B67" w:rsidRPr="004473B9" w:rsidRDefault="00377B67" w:rsidP="00B548BB">
      <w:pPr>
        <w:autoSpaceDE w:val="0"/>
        <w:autoSpaceDN w:val="0"/>
        <w:adjustRightInd w:val="0"/>
        <w:spacing w:before="480"/>
        <w:rPr>
          <w:rStyle w:val="Betreff"/>
        </w:rPr>
      </w:pPr>
      <w:r w:rsidRPr="00377B67">
        <w:rPr>
          <w:rStyle w:val="Betreff"/>
        </w:rPr>
        <w:t xml:space="preserve">Vernehmlassungsantwort </w:t>
      </w:r>
      <w:r w:rsidR="00716684">
        <w:rPr>
          <w:rStyle w:val="Betreff"/>
        </w:rPr>
        <w:t>zum indirekten Gegenentwurf zur Eidgenössischen Volksinitiative «Für die Gleichstellung von Menschen mit Behinderungen (Inklusions-Initiative)»</w:t>
      </w:r>
    </w:p>
    <w:p w14:paraId="7DE376FF" w14:textId="3623CB06" w:rsidR="005E1ED3" w:rsidRPr="007D16D0" w:rsidRDefault="005E1ED3" w:rsidP="007D16D0">
      <w:pPr>
        <w:pStyle w:val="Titel"/>
        <w:spacing w:before="600" w:after="600"/>
        <w:jc w:val="both"/>
        <w:outlineLvl w:val="0"/>
        <w:rPr>
          <w:rFonts w:cs="Arial"/>
        </w:rPr>
      </w:pPr>
      <w:bookmarkStart w:id="2" w:name="_Toc210903209"/>
      <w:r w:rsidRPr="007D16D0">
        <w:rPr>
          <w:rFonts w:cs="Arial"/>
        </w:rPr>
        <w:t>Stellungnahme des Schweizerischen Blindenbundes</w:t>
      </w:r>
      <w:bookmarkEnd w:id="1"/>
      <w:bookmarkEnd w:id="2"/>
    </w:p>
    <w:p w14:paraId="1A590B07" w14:textId="12EAFF11" w:rsidR="005E1ED3" w:rsidRPr="007D16D0" w:rsidRDefault="005E1ED3" w:rsidP="0026497C">
      <w:pPr>
        <w:spacing w:before="240"/>
        <w:jc w:val="both"/>
        <w:rPr>
          <w:rFonts w:cs="Arial"/>
          <w:szCs w:val="24"/>
        </w:rPr>
      </w:pPr>
      <w:r w:rsidRPr="007D16D0">
        <w:rPr>
          <w:rFonts w:cs="Arial"/>
          <w:szCs w:val="24"/>
        </w:rPr>
        <w:t>Sehr geehrte</w:t>
      </w:r>
      <w:r w:rsidR="00716684">
        <w:rPr>
          <w:rFonts w:cs="Arial"/>
          <w:szCs w:val="24"/>
        </w:rPr>
        <w:t xml:space="preserve"> Frau Bundesrätin Baume-Schneider</w:t>
      </w:r>
    </w:p>
    <w:p w14:paraId="04E9F7EB" w14:textId="2E38479D" w:rsidR="00301A6C" w:rsidRPr="00301A6C" w:rsidRDefault="005E1ED3" w:rsidP="00301A6C">
      <w:pPr>
        <w:spacing w:after="240"/>
        <w:jc w:val="both"/>
        <w:rPr>
          <w:rFonts w:cs="Arial"/>
          <w:szCs w:val="24"/>
        </w:rPr>
      </w:pPr>
      <w:r w:rsidRPr="007D16D0">
        <w:rPr>
          <w:rFonts w:cs="Arial"/>
          <w:szCs w:val="24"/>
        </w:rPr>
        <w:t>Sehr geehrte Damen und Herren</w:t>
      </w:r>
    </w:p>
    <w:p w14:paraId="7895E50B" w14:textId="40202AE7" w:rsidR="00301A6C" w:rsidRPr="00301A6C" w:rsidRDefault="00301A6C" w:rsidP="00301A6C">
      <w:pPr>
        <w:spacing w:after="240"/>
        <w:jc w:val="both"/>
        <w:rPr>
          <w:rFonts w:cs="Arial"/>
          <w:szCs w:val="24"/>
        </w:rPr>
      </w:pPr>
      <w:r w:rsidRPr="00301A6C">
        <w:rPr>
          <w:rFonts w:cs="Arial"/>
          <w:szCs w:val="24"/>
        </w:rPr>
        <w:t>Der Schweizerische Blindenbund (</w:t>
      </w:r>
      <w:proofErr w:type="spellStart"/>
      <w:r w:rsidRPr="00301A6C">
        <w:rPr>
          <w:rFonts w:cs="Arial"/>
          <w:szCs w:val="24"/>
        </w:rPr>
        <w:t>SBb</w:t>
      </w:r>
      <w:proofErr w:type="spellEnd"/>
      <w:r w:rsidRPr="00301A6C">
        <w:rPr>
          <w:rFonts w:cs="Arial"/>
          <w:szCs w:val="24"/>
        </w:rPr>
        <w:t xml:space="preserve">) ist eine Selbsthilfeorganisation blinder und sehbehinderter Menschen mit rund 40 Mitarbeiterinnen und Mitarbeitern. Er gewährleistet in 7 Beratungsstellen die professionelle Durchführung von Massnahmen, die eine weitgehende Selbständigkeit blinder und sehbehinderter Menschen in materieller, beruflicher, gesellschaftlicher und kultureller Hinsicht ermöglichen und unterstützen sollen. </w:t>
      </w:r>
    </w:p>
    <w:p w14:paraId="4E7EF4B1" w14:textId="2D1AA3BB" w:rsidR="00301A6C" w:rsidRPr="00301A6C" w:rsidRDefault="00301A6C" w:rsidP="00301A6C">
      <w:pPr>
        <w:spacing w:after="240"/>
        <w:jc w:val="both"/>
        <w:rPr>
          <w:rFonts w:cs="Arial"/>
          <w:szCs w:val="24"/>
        </w:rPr>
      </w:pPr>
      <w:r w:rsidRPr="00301A6C">
        <w:rPr>
          <w:rFonts w:cs="Arial"/>
          <w:szCs w:val="24"/>
        </w:rPr>
        <w:t xml:space="preserve">Mit Schreiben vom 25.06.2025 hat der Bundesrat die Vernehmlassung zum indirekten Gegenvorschlag zur Volksinitiative "Für die Gleichstellung von Menschen mit Behinderungen (Inklusions-Initiative)" eröffnet. </w:t>
      </w:r>
    </w:p>
    <w:p w14:paraId="37CDD21F" w14:textId="09D0789F" w:rsidR="00301A6C" w:rsidRPr="00301A6C" w:rsidRDefault="00301A6C" w:rsidP="00301A6C">
      <w:pPr>
        <w:spacing w:after="240"/>
        <w:jc w:val="both"/>
        <w:rPr>
          <w:rFonts w:cs="Arial"/>
          <w:szCs w:val="24"/>
        </w:rPr>
      </w:pPr>
      <w:r w:rsidRPr="00301A6C">
        <w:rPr>
          <w:rFonts w:cs="Arial"/>
          <w:szCs w:val="24"/>
        </w:rPr>
        <w:t xml:space="preserve">Die Inklusions-Initiative ist für viele Menschen mit Behinderungen mit grossen Hoffnungen verbunden. Sie soll dazu führen, dass sich die Schweiz an die Umsetzung der tatsächlichen Gleichstellung in allen Lebensbereichen macht, zu welcher sie sich mit der Unterzeichnung der UNO-Behindertenrechtskonvention verpflichtet hat. Zudem soll sie insbesondere die freie Wahl der Wohnform und des Wohnorts ermöglichen sowie die nötigen Assistenz- und Unterstützungsleistungen sicherstellen. Angesichts </w:t>
      </w:r>
      <w:r w:rsidRPr="00301A6C">
        <w:rPr>
          <w:rFonts w:cs="Arial"/>
          <w:szCs w:val="24"/>
        </w:rPr>
        <w:lastRenderedPageBreak/>
        <w:t>dessen ist der in die Vernehmlassung geschickte Vorentwurf des Gegenvorschlags enttäuschend und keineswegs eine Antwort auf die Anliegen der Inklusions-Initiative. Er stellt keine Weichen für eine fortschrittliche Behinderten- und Inklusionspolitik der nächsten Jahrzehnte. Der Vorentwurf des Inklusionsgesetzes definiert zudem einen Behinderungsbegriff, von dem drei Viertel der Menschen mit Behinderungen von vornherein ausgeschlossen sind. Im Bereich Wohnen wird die Chance verpasst, einen Rechtsanspruch von Menschen mit Behinderungen auf selbstbestimmtes Wohnen zu verankern und die Verpflichtungen von Bund und Kantonen klarzustellen. Eine klare und mit den Kantonen koordinierte Gesamtstrategie zur Sicherstellung des selbstbestimmten Wohnens wird nicht verankert. Im Rahmen des Invalidenversicherungsgesetzes wird zudem die Möglichkeit verpasst, den Zugang zu notwendigen Assistenz- und Unterstützungsleistungen sowie modernen Hilfsmitteln zu öffnen und diese Leistungen zu stärken. Insgesamt bietet der Vorentwurf des Gegenvorschlags keinen Mehrwert für Menschen mit Behinderungen. Er zielt weit an ihren berechtigten Forderungen vorbei. Soll der Gegenvorschlag eine Antwort auf die Inklusions-Initiative sein, so muss er markant verbessert werden.</w:t>
      </w:r>
    </w:p>
    <w:p w14:paraId="69610A3F" w14:textId="351B2FF7" w:rsidR="00301A6C" w:rsidRDefault="00301A6C" w:rsidP="00301A6C">
      <w:pPr>
        <w:spacing w:after="240"/>
        <w:jc w:val="both"/>
        <w:rPr>
          <w:rFonts w:cs="Arial"/>
          <w:szCs w:val="24"/>
        </w:rPr>
      </w:pPr>
      <w:r w:rsidRPr="00301A6C">
        <w:rPr>
          <w:rFonts w:cs="Arial"/>
          <w:szCs w:val="24"/>
        </w:rPr>
        <w:t>Der Schweizerische Blindenbund ergreift im Rahmen dieses Vernehmlassungsverfahrens, das auch die gesetzlichen Bestimmungen zum Assistenzbeitrag betrifft, die Gelegenheit, die äusserst unbefriedigende Situation blinder, sehbehinderter, hör-/sehbehinderter und taubblinder Menschen im aktuellen System des Assistenzbeitrages der IV darzulegen. Nebst der Darstellung der behinderungsspezifischen Schwierigkeiten und Unzulänglichkeiten im Assistenzbeitrag der IV wird in Kapitel "4.4 Sinnesbehinderte im Assistenzbeitrag IV als Sonderfall" ein konkretes Konzept erläutert, das sich in die Lebensrealität von sinnesbehinderten Menschen einfügt und behinderungsspezifische Notwendigkeiten berücksichtigt.</w:t>
      </w:r>
    </w:p>
    <w:p w14:paraId="0130FA63" w14:textId="77777777" w:rsidR="006B28F7" w:rsidRDefault="006B28F7" w:rsidP="00301A6C">
      <w:pPr>
        <w:spacing w:after="240"/>
        <w:jc w:val="both"/>
        <w:rPr>
          <w:rFonts w:cs="Arial"/>
          <w:szCs w:val="24"/>
        </w:rPr>
        <w:sectPr w:rsidR="006B28F7" w:rsidSect="001604BA">
          <w:footerReference w:type="default" r:id="rId9"/>
          <w:headerReference w:type="first" r:id="rId10"/>
          <w:footerReference w:type="first" r:id="rId11"/>
          <w:pgSz w:w="11906" w:h="16838" w:code="9"/>
          <w:pgMar w:top="-1559" w:right="1558" w:bottom="1134" w:left="1247" w:header="851" w:footer="397" w:gutter="0"/>
          <w:cols w:space="720"/>
          <w:titlePg/>
        </w:sectPr>
      </w:pPr>
    </w:p>
    <w:bookmarkEnd w:id="0" w:displacedByCustomXml="next"/>
    <w:sdt>
      <w:sdtPr>
        <w:rPr>
          <w:rFonts w:ascii="Arial" w:eastAsia="Times New Roman" w:hAnsi="Arial" w:cs="Arial"/>
          <w:color w:val="auto"/>
          <w:sz w:val="24"/>
          <w:szCs w:val="24"/>
          <w:lang w:val="de-DE"/>
        </w:rPr>
        <w:id w:val="-2076882805"/>
        <w:docPartObj>
          <w:docPartGallery w:val="Table of Contents"/>
          <w:docPartUnique/>
        </w:docPartObj>
      </w:sdtPr>
      <w:sdtEndPr>
        <w:rPr>
          <w:rFonts w:cs="Times New Roman"/>
          <w:b/>
          <w:bCs/>
          <w:szCs w:val="20"/>
        </w:rPr>
      </w:sdtEndPr>
      <w:sdtContent>
        <w:p w14:paraId="39E4F204" w14:textId="278BB79C" w:rsidR="00BE0D0D" w:rsidRPr="00D24989" w:rsidRDefault="00BE0D0D" w:rsidP="00F729BA">
          <w:pPr>
            <w:pStyle w:val="Inhaltsverzeichnisberschrift"/>
            <w:spacing w:before="0" w:after="240"/>
            <w:rPr>
              <w:rFonts w:ascii="Arial" w:hAnsi="Arial" w:cs="Arial"/>
              <w:b/>
              <w:bCs/>
              <w:color w:val="auto"/>
              <w:sz w:val="24"/>
              <w:szCs w:val="24"/>
            </w:rPr>
          </w:pPr>
          <w:r w:rsidRPr="00D24989">
            <w:rPr>
              <w:rFonts w:ascii="Arial" w:hAnsi="Arial" w:cs="Arial"/>
              <w:b/>
              <w:bCs/>
              <w:color w:val="auto"/>
              <w:sz w:val="24"/>
              <w:szCs w:val="24"/>
              <w:lang w:val="de-DE"/>
            </w:rPr>
            <w:t>Inhalt</w:t>
          </w:r>
        </w:p>
        <w:p w14:paraId="757135FA" w14:textId="3CE629EC" w:rsidR="00F729BA" w:rsidRDefault="00BE0D0D">
          <w:pPr>
            <w:pStyle w:val="Verzeichnis1"/>
            <w:tabs>
              <w:tab w:val="right" w:leader="dot" w:pos="9091"/>
            </w:tabs>
            <w:rPr>
              <w:rFonts w:asciiTheme="minorHAnsi" w:eastAsiaTheme="minorEastAsia" w:hAnsiTheme="minorHAnsi" w:cstheme="minorBidi"/>
              <w:noProof/>
              <w:kern w:val="2"/>
              <w:szCs w:val="24"/>
              <w14:ligatures w14:val="standardContextual"/>
            </w:rPr>
          </w:pPr>
          <w:r>
            <w:fldChar w:fldCharType="begin"/>
          </w:r>
          <w:r>
            <w:instrText xml:space="preserve"> TOC \o "1-3" \h \z \u </w:instrText>
          </w:r>
          <w:r>
            <w:fldChar w:fldCharType="separate"/>
          </w:r>
          <w:hyperlink w:anchor="_Toc210903209" w:history="1">
            <w:r w:rsidR="00F729BA" w:rsidRPr="007E4CA5">
              <w:rPr>
                <w:rStyle w:val="Hyperlink"/>
                <w:rFonts w:cs="Arial"/>
                <w:noProof/>
              </w:rPr>
              <w:t>Stellungnahme des Schweizerischen Blindenbundes</w:t>
            </w:r>
            <w:r w:rsidR="00F729BA">
              <w:rPr>
                <w:noProof/>
                <w:webHidden/>
              </w:rPr>
              <w:tab/>
            </w:r>
            <w:r w:rsidR="00F729BA">
              <w:rPr>
                <w:noProof/>
                <w:webHidden/>
              </w:rPr>
              <w:fldChar w:fldCharType="begin"/>
            </w:r>
            <w:r w:rsidR="00F729BA">
              <w:rPr>
                <w:noProof/>
                <w:webHidden/>
              </w:rPr>
              <w:instrText xml:space="preserve"> PAGEREF _Toc210903209 \h </w:instrText>
            </w:r>
            <w:r w:rsidR="00F729BA">
              <w:rPr>
                <w:noProof/>
                <w:webHidden/>
              </w:rPr>
            </w:r>
            <w:r w:rsidR="00F729BA">
              <w:rPr>
                <w:noProof/>
                <w:webHidden/>
              </w:rPr>
              <w:fldChar w:fldCharType="separate"/>
            </w:r>
            <w:r w:rsidR="00F729BA">
              <w:rPr>
                <w:noProof/>
                <w:webHidden/>
              </w:rPr>
              <w:t>1</w:t>
            </w:r>
            <w:r w:rsidR="00F729BA">
              <w:rPr>
                <w:noProof/>
                <w:webHidden/>
              </w:rPr>
              <w:fldChar w:fldCharType="end"/>
            </w:r>
          </w:hyperlink>
        </w:p>
        <w:p w14:paraId="1330B7BA" w14:textId="77140D59" w:rsidR="00F729BA" w:rsidRDefault="00F729BA">
          <w:pPr>
            <w:pStyle w:val="Verzeichnis1"/>
            <w:tabs>
              <w:tab w:val="right" w:leader="dot" w:pos="9091"/>
            </w:tabs>
            <w:rPr>
              <w:rFonts w:asciiTheme="minorHAnsi" w:eastAsiaTheme="minorEastAsia" w:hAnsiTheme="minorHAnsi" w:cstheme="minorBidi"/>
              <w:noProof/>
              <w:kern w:val="2"/>
              <w:szCs w:val="24"/>
              <w14:ligatures w14:val="standardContextual"/>
            </w:rPr>
          </w:pPr>
          <w:hyperlink w:anchor="_Toc210903210" w:history="1">
            <w:r w:rsidRPr="007E4CA5">
              <w:rPr>
                <w:rStyle w:val="Hyperlink"/>
                <w:noProof/>
              </w:rPr>
              <w:t>1. Das Wesentliche in Kürze</w:t>
            </w:r>
            <w:r>
              <w:rPr>
                <w:noProof/>
                <w:webHidden/>
              </w:rPr>
              <w:tab/>
            </w:r>
            <w:r>
              <w:rPr>
                <w:noProof/>
                <w:webHidden/>
              </w:rPr>
              <w:fldChar w:fldCharType="begin"/>
            </w:r>
            <w:r>
              <w:rPr>
                <w:noProof/>
                <w:webHidden/>
              </w:rPr>
              <w:instrText xml:space="preserve"> PAGEREF _Toc210903210 \h </w:instrText>
            </w:r>
            <w:r>
              <w:rPr>
                <w:noProof/>
                <w:webHidden/>
              </w:rPr>
            </w:r>
            <w:r>
              <w:rPr>
                <w:noProof/>
                <w:webHidden/>
              </w:rPr>
              <w:fldChar w:fldCharType="separate"/>
            </w:r>
            <w:r>
              <w:rPr>
                <w:noProof/>
                <w:webHidden/>
              </w:rPr>
              <w:t>4</w:t>
            </w:r>
            <w:r>
              <w:rPr>
                <w:noProof/>
                <w:webHidden/>
              </w:rPr>
              <w:fldChar w:fldCharType="end"/>
            </w:r>
          </w:hyperlink>
        </w:p>
        <w:p w14:paraId="4F051071" w14:textId="5B049591" w:rsidR="00F729BA" w:rsidRDefault="00F729BA">
          <w:pPr>
            <w:pStyle w:val="Verzeichnis2"/>
            <w:tabs>
              <w:tab w:val="right" w:leader="dot" w:pos="9091"/>
            </w:tabs>
            <w:rPr>
              <w:rFonts w:asciiTheme="minorHAnsi" w:eastAsiaTheme="minorEastAsia" w:hAnsiTheme="minorHAnsi" w:cstheme="minorBidi"/>
              <w:noProof/>
              <w:kern w:val="2"/>
              <w:szCs w:val="24"/>
              <w14:ligatures w14:val="standardContextual"/>
            </w:rPr>
          </w:pPr>
          <w:hyperlink w:anchor="_Toc210903211" w:history="1">
            <w:r w:rsidRPr="007E4CA5">
              <w:rPr>
                <w:rStyle w:val="Hyperlink"/>
                <w:rFonts w:cs="Arial"/>
                <w:b/>
                <w:noProof/>
              </w:rPr>
              <w:t>1.1 Grundsätzliche Kritik am Inklusionsgesetz</w:t>
            </w:r>
            <w:r>
              <w:rPr>
                <w:noProof/>
                <w:webHidden/>
              </w:rPr>
              <w:tab/>
            </w:r>
            <w:r>
              <w:rPr>
                <w:noProof/>
                <w:webHidden/>
              </w:rPr>
              <w:fldChar w:fldCharType="begin"/>
            </w:r>
            <w:r>
              <w:rPr>
                <w:noProof/>
                <w:webHidden/>
              </w:rPr>
              <w:instrText xml:space="preserve"> PAGEREF _Toc210903211 \h </w:instrText>
            </w:r>
            <w:r>
              <w:rPr>
                <w:noProof/>
                <w:webHidden/>
              </w:rPr>
            </w:r>
            <w:r>
              <w:rPr>
                <w:noProof/>
                <w:webHidden/>
              </w:rPr>
              <w:fldChar w:fldCharType="separate"/>
            </w:r>
            <w:r>
              <w:rPr>
                <w:noProof/>
                <w:webHidden/>
              </w:rPr>
              <w:t>5</w:t>
            </w:r>
            <w:r>
              <w:rPr>
                <w:noProof/>
                <w:webHidden/>
              </w:rPr>
              <w:fldChar w:fldCharType="end"/>
            </w:r>
          </w:hyperlink>
        </w:p>
        <w:p w14:paraId="1054AFE5" w14:textId="20390CFA" w:rsidR="00F729BA" w:rsidRDefault="00F729BA">
          <w:pPr>
            <w:pStyle w:val="Verzeichnis2"/>
            <w:tabs>
              <w:tab w:val="right" w:leader="dot" w:pos="9091"/>
            </w:tabs>
            <w:rPr>
              <w:rFonts w:asciiTheme="minorHAnsi" w:eastAsiaTheme="minorEastAsia" w:hAnsiTheme="minorHAnsi" w:cstheme="minorBidi"/>
              <w:noProof/>
              <w:kern w:val="2"/>
              <w:szCs w:val="24"/>
              <w14:ligatures w14:val="standardContextual"/>
            </w:rPr>
          </w:pPr>
          <w:hyperlink w:anchor="_Toc210903212" w:history="1">
            <w:r w:rsidRPr="007E4CA5">
              <w:rPr>
                <w:rStyle w:val="Hyperlink"/>
                <w:rFonts w:cs="Arial"/>
                <w:b/>
                <w:noProof/>
              </w:rPr>
              <w:t>1.2 Verpasster Systemwechsel beim Wohnen</w:t>
            </w:r>
            <w:r>
              <w:rPr>
                <w:noProof/>
                <w:webHidden/>
              </w:rPr>
              <w:tab/>
            </w:r>
            <w:r>
              <w:rPr>
                <w:noProof/>
                <w:webHidden/>
              </w:rPr>
              <w:fldChar w:fldCharType="begin"/>
            </w:r>
            <w:r>
              <w:rPr>
                <w:noProof/>
                <w:webHidden/>
              </w:rPr>
              <w:instrText xml:space="preserve"> PAGEREF _Toc210903212 \h </w:instrText>
            </w:r>
            <w:r>
              <w:rPr>
                <w:noProof/>
                <w:webHidden/>
              </w:rPr>
            </w:r>
            <w:r>
              <w:rPr>
                <w:noProof/>
                <w:webHidden/>
              </w:rPr>
              <w:fldChar w:fldCharType="separate"/>
            </w:r>
            <w:r>
              <w:rPr>
                <w:noProof/>
                <w:webHidden/>
              </w:rPr>
              <w:t>6</w:t>
            </w:r>
            <w:r>
              <w:rPr>
                <w:noProof/>
                <w:webHidden/>
              </w:rPr>
              <w:fldChar w:fldCharType="end"/>
            </w:r>
          </w:hyperlink>
        </w:p>
        <w:p w14:paraId="1BECACCD" w14:textId="4D987EC1" w:rsidR="00F729BA" w:rsidRDefault="00F729BA">
          <w:pPr>
            <w:pStyle w:val="Verzeichnis2"/>
            <w:tabs>
              <w:tab w:val="right" w:leader="dot" w:pos="9091"/>
            </w:tabs>
            <w:rPr>
              <w:rFonts w:asciiTheme="minorHAnsi" w:eastAsiaTheme="minorEastAsia" w:hAnsiTheme="minorHAnsi" w:cstheme="minorBidi"/>
              <w:noProof/>
              <w:kern w:val="2"/>
              <w:szCs w:val="24"/>
              <w14:ligatures w14:val="standardContextual"/>
            </w:rPr>
          </w:pPr>
          <w:hyperlink w:anchor="_Toc210903213" w:history="1">
            <w:r w:rsidRPr="007E4CA5">
              <w:rPr>
                <w:rStyle w:val="Hyperlink"/>
                <w:rFonts w:cs="Arial"/>
                <w:b/>
                <w:noProof/>
              </w:rPr>
              <w:t>1.3 Zu den Anpassungen im Invalidenversicherungsgesetz</w:t>
            </w:r>
            <w:r>
              <w:rPr>
                <w:noProof/>
                <w:webHidden/>
              </w:rPr>
              <w:tab/>
            </w:r>
            <w:r>
              <w:rPr>
                <w:noProof/>
                <w:webHidden/>
              </w:rPr>
              <w:fldChar w:fldCharType="begin"/>
            </w:r>
            <w:r>
              <w:rPr>
                <w:noProof/>
                <w:webHidden/>
              </w:rPr>
              <w:instrText xml:space="preserve"> PAGEREF _Toc210903213 \h </w:instrText>
            </w:r>
            <w:r>
              <w:rPr>
                <w:noProof/>
                <w:webHidden/>
              </w:rPr>
            </w:r>
            <w:r>
              <w:rPr>
                <w:noProof/>
                <w:webHidden/>
              </w:rPr>
              <w:fldChar w:fldCharType="separate"/>
            </w:r>
            <w:r>
              <w:rPr>
                <w:noProof/>
                <w:webHidden/>
              </w:rPr>
              <w:t>7</w:t>
            </w:r>
            <w:r>
              <w:rPr>
                <w:noProof/>
                <w:webHidden/>
              </w:rPr>
              <w:fldChar w:fldCharType="end"/>
            </w:r>
          </w:hyperlink>
        </w:p>
        <w:p w14:paraId="61ADE852" w14:textId="31AD322F" w:rsidR="00F729BA" w:rsidRDefault="00F729BA">
          <w:pPr>
            <w:pStyle w:val="Verzeichnis1"/>
            <w:tabs>
              <w:tab w:val="right" w:leader="dot" w:pos="9091"/>
            </w:tabs>
            <w:rPr>
              <w:rFonts w:asciiTheme="minorHAnsi" w:eastAsiaTheme="minorEastAsia" w:hAnsiTheme="minorHAnsi" w:cstheme="minorBidi"/>
              <w:noProof/>
              <w:kern w:val="2"/>
              <w:szCs w:val="24"/>
              <w14:ligatures w14:val="standardContextual"/>
            </w:rPr>
          </w:pPr>
          <w:hyperlink w:anchor="_Toc210903214" w:history="1">
            <w:r w:rsidRPr="007E4CA5">
              <w:rPr>
                <w:rStyle w:val="Hyperlink"/>
                <w:noProof/>
              </w:rPr>
              <w:t>2. Ausgangslage: Inklusions-Initiative verlangt BRK-Umsetzung</w:t>
            </w:r>
            <w:r>
              <w:rPr>
                <w:noProof/>
                <w:webHidden/>
              </w:rPr>
              <w:tab/>
            </w:r>
            <w:r>
              <w:rPr>
                <w:noProof/>
                <w:webHidden/>
              </w:rPr>
              <w:fldChar w:fldCharType="begin"/>
            </w:r>
            <w:r>
              <w:rPr>
                <w:noProof/>
                <w:webHidden/>
              </w:rPr>
              <w:instrText xml:space="preserve"> PAGEREF _Toc210903214 \h </w:instrText>
            </w:r>
            <w:r>
              <w:rPr>
                <w:noProof/>
                <w:webHidden/>
              </w:rPr>
            </w:r>
            <w:r>
              <w:rPr>
                <w:noProof/>
                <w:webHidden/>
              </w:rPr>
              <w:fldChar w:fldCharType="separate"/>
            </w:r>
            <w:r>
              <w:rPr>
                <w:noProof/>
                <w:webHidden/>
              </w:rPr>
              <w:t>9</w:t>
            </w:r>
            <w:r>
              <w:rPr>
                <w:noProof/>
                <w:webHidden/>
              </w:rPr>
              <w:fldChar w:fldCharType="end"/>
            </w:r>
          </w:hyperlink>
        </w:p>
        <w:p w14:paraId="67B6864D" w14:textId="0ED51EF7" w:rsidR="00F729BA" w:rsidRDefault="00F729BA">
          <w:pPr>
            <w:pStyle w:val="Verzeichnis1"/>
            <w:tabs>
              <w:tab w:val="right" w:leader="dot" w:pos="9091"/>
            </w:tabs>
            <w:rPr>
              <w:rFonts w:asciiTheme="minorHAnsi" w:eastAsiaTheme="minorEastAsia" w:hAnsiTheme="minorHAnsi" w:cstheme="minorBidi"/>
              <w:noProof/>
              <w:kern w:val="2"/>
              <w:szCs w:val="24"/>
              <w14:ligatures w14:val="standardContextual"/>
            </w:rPr>
          </w:pPr>
          <w:hyperlink w:anchor="_Toc210903215" w:history="1">
            <w:r w:rsidRPr="007E4CA5">
              <w:rPr>
                <w:rStyle w:val="Hyperlink"/>
                <w:noProof/>
              </w:rPr>
              <w:t>3. Zum VE-InG</w:t>
            </w:r>
            <w:r>
              <w:rPr>
                <w:noProof/>
                <w:webHidden/>
              </w:rPr>
              <w:tab/>
            </w:r>
            <w:r>
              <w:rPr>
                <w:noProof/>
                <w:webHidden/>
              </w:rPr>
              <w:fldChar w:fldCharType="begin"/>
            </w:r>
            <w:r>
              <w:rPr>
                <w:noProof/>
                <w:webHidden/>
              </w:rPr>
              <w:instrText xml:space="preserve"> PAGEREF _Toc210903215 \h </w:instrText>
            </w:r>
            <w:r>
              <w:rPr>
                <w:noProof/>
                <w:webHidden/>
              </w:rPr>
            </w:r>
            <w:r>
              <w:rPr>
                <w:noProof/>
                <w:webHidden/>
              </w:rPr>
              <w:fldChar w:fldCharType="separate"/>
            </w:r>
            <w:r>
              <w:rPr>
                <w:noProof/>
                <w:webHidden/>
              </w:rPr>
              <w:t>10</w:t>
            </w:r>
            <w:r>
              <w:rPr>
                <w:noProof/>
                <w:webHidden/>
              </w:rPr>
              <w:fldChar w:fldCharType="end"/>
            </w:r>
          </w:hyperlink>
        </w:p>
        <w:p w14:paraId="604B231E" w14:textId="3A8C9A27" w:rsidR="00F729BA" w:rsidRDefault="00F729BA">
          <w:pPr>
            <w:pStyle w:val="Verzeichnis2"/>
            <w:tabs>
              <w:tab w:val="right" w:leader="dot" w:pos="9091"/>
            </w:tabs>
            <w:rPr>
              <w:rFonts w:asciiTheme="minorHAnsi" w:eastAsiaTheme="minorEastAsia" w:hAnsiTheme="minorHAnsi" w:cstheme="minorBidi"/>
              <w:noProof/>
              <w:kern w:val="2"/>
              <w:szCs w:val="24"/>
              <w14:ligatures w14:val="standardContextual"/>
            </w:rPr>
          </w:pPr>
          <w:hyperlink w:anchor="_Toc210903216" w:history="1">
            <w:r w:rsidRPr="007E4CA5">
              <w:rPr>
                <w:rStyle w:val="Hyperlink"/>
                <w:rFonts w:cs="Arial"/>
                <w:b/>
                <w:noProof/>
              </w:rPr>
              <w:t>3.1 Einleitung</w:t>
            </w:r>
            <w:r>
              <w:rPr>
                <w:noProof/>
                <w:webHidden/>
              </w:rPr>
              <w:tab/>
            </w:r>
            <w:r>
              <w:rPr>
                <w:noProof/>
                <w:webHidden/>
              </w:rPr>
              <w:fldChar w:fldCharType="begin"/>
            </w:r>
            <w:r>
              <w:rPr>
                <w:noProof/>
                <w:webHidden/>
              </w:rPr>
              <w:instrText xml:space="preserve"> PAGEREF _Toc210903216 \h </w:instrText>
            </w:r>
            <w:r>
              <w:rPr>
                <w:noProof/>
                <w:webHidden/>
              </w:rPr>
            </w:r>
            <w:r>
              <w:rPr>
                <w:noProof/>
                <w:webHidden/>
              </w:rPr>
              <w:fldChar w:fldCharType="separate"/>
            </w:r>
            <w:r>
              <w:rPr>
                <w:noProof/>
                <w:webHidden/>
              </w:rPr>
              <w:t>10</w:t>
            </w:r>
            <w:r>
              <w:rPr>
                <w:noProof/>
                <w:webHidden/>
              </w:rPr>
              <w:fldChar w:fldCharType="end"/>
            </w:r>
          </w:hyperlink>
        </w:p>
        <w:p w14:paraId="3D8F2C5C" w14:textId="623B3F54" w:rsidR="00F729BA" w:rsidRDefault="00F729BA">
          <w:pPr>
            <w:pStyle w:val="Verzeichnis2"/>
            <w:tabs>
              <w:tab w:val="right" w:leader="dot" w:pos="9091"/>
            </w:tabs>
            <w:rPr>
              <w:rFonts w:asciiTheme="minorHAnsi" w:eastAsiaTheme="minorEastAsia" w:hAnsiTheme="minorHAnsi" w:cstheme="minorBidi"/>
              <w:noProof/>
              <w:kern w:val="2"/>
              <w:szCs w:val="24"/>
              <w14:ligatures w14:val="standardContextual"/>
            </w:rPr>
          </w:pPr>
          <w:hyperlink w:anchor="_Toc210903217" w:history="1">
            <w:r w:rsidRPr="007E4CA5">
              <w:rPr>
                <w:rStyle w:val="Hyperlink"/>
                <w:rFonts w:cs="Arial"/>
                <w:b/>
                <w:noProof/>
              </w:rPr>
              <w:t>3.2 Zu enger Geltungsbereich</w:t>
            </w:r>
            <w:r>
              <w:rPr>
                <w:noProof/>
                <w:webHidden/>
              </w:rPr>
              <w:tab/>
            </w:r>
            <w:r>
              <w:rPr>
                <w:noProof/>
                <w:webHidden/>
              </w:rPr>
              <w:fldChar w:fldCharType="begin"/>
            </w:r>
            <w:r>
              <w:rPr>
                <w:noProof/>
                <w:webHidden/>
              </w:rPr>
              <w:instrText xml:space="preserve"> PAGEREF _Toc210903217 \h </w:instrText>
            </w:r>
            <w:r>
              <w:rPr>
                <w:noProof/>
                <w:webHidden/>
              </w:rPr>
            </w:r>
            <w:r>
              <w:rPr>
                <w:noProof/>
                <w:webHidden/>
              </w:rPr>
              <w:fldChar w:fldCharType="separate"/>
            </w:r>
            <w:r>
              <w:rPr>
                <w:noProof/>
                <w:webHidden/>
              </w:rPr>
              <w:t>10</w:t>
            </w:r>
            <w:r>
              <w:rPr>
                <w:noProof/>
                <w:webHidden/>
              </w:rPr>
              <w:fldChar w:fldCharType="end"/>
            </w:r>
          </w:hyperlink>
        </w:p>
        <w:p w14:paraId="38A5A5EE" w14:textId="1D32AB5D" w:rsidR="00F729BA" w:rsidRDefault="00F729BA">
          <w:pPr>
            <w:pStyle w:val="Verzeichnis3"/>
            <w:tabs>
              <w:tab w:val="right" w:leader="dot" w:pos="9091"/>
            </w:tabs>
            <w:rPr>
              <w:rFonts w:asciiTheme="minorHAnsi" w:eastAsiaTheme="minorEastAsia" w:hAnsiTheme="minorHAnsi" w:cstheme="minorBidi"/>
              <w:noProof/>
              <w:kern w:val="2"/>
              <w:szCs w:val="24"/>
              <w14:ligatures w14:val="standardContextual"/>
            </w:rPr>
          </w:pPr>
          <w:hyperlink w:anchor="_Toc210903218" w:history="1">
            <w:r w:rsidRPr="007E4CA5">
              <w:rPr>
                <w:rStyle w:val="Hyperlink"/>
                <w:noProof/>
              </w:rPr>
              <w:t>3.2.1 Sachlicher Geltungsbereich</w:t>
            </w:r>
            <w:r>
              <w:rPr>
                <w:noProof/>
                <w:webHidden/>
              </w:rPr>
              <w:tab/>
            </w:r>
            <w:r>
              <w:rPr>
                <w:noProof/>
                <w:webHidden/>
              </w:rPr>
              <w:fldChar w:fldCharType="begin"/>
            </w:r>
            <w:r>
              <w:rPr>
                <w:noProof/>
                <w:webHidden/>
              </w:rPr>
              <w:instrText xml:space="preserve"> PAGEREF _Toc210903218 \h </w:instrText>
            </w:r>
            <w:r>
              <w:rPr>
                <w:noProof/>
                <w:webHidden/>
              </w:rPr>
            </w:r>
            <w:r>
              <w:rPr>
                <w:noProof/>
                <w:webHidden/>
              </w:rPr>
              <w:fldChar w:fldCharType="separate"/>
            </w:r>
            <w:r>
              <w:rPr>
                <w:noProof/>
                <w:webHidden/>
              </w:rPr>
              <w:t>10</w:t>
            </w:r>
            <w:r>
              <w:rPr>
                <w:noProof/>
                <w:webHidden/>
              </w:rPr>
              <w:fldChar w:fldCharType="end"/>
            </w:r>
          </w:hyperlink>
        </w:p>
        <w:p w14:paraId="45DB7380" w14:textId="56A92036" w:rsidR="00F729BA" w:rsidRDefault="00F729BA">
          <w:pPr>
            <w:pStyle w:val="Verzeichnis3"/>
            <w:tabs>
              <w:tab w:val="right" w:leader="dot" w:pos="9091"/>
            </w:tabs>
            <w:rPr>
              <w:rFonts w:asciiTheme="minorHAnsi" w:eastAsiaTheme="minorEastAsia" w:hAnsiTheme="minorHAnsi" w:cstheme="minorBidi"/>
              <w:noProof/>
              <w:kern w:val="2"/>
              <w:szCs w:val="24"/>
              <w14:ligatures w14:val="standardContextual"/>
            </w:rPr>
          </w:pPr>
          <w:hyperlink w:anchor="_Toc210903219" w:history="1">
            <w:r w:rsidRPr="007E4CA5">
              <w:rPr>
                <w:rStyle w:val="Hyperlink"/>
                <w:rFonts w:cs="Arial"/>
                <w:noProof/>
              </w:rPr>
              <w:t>3.2.2 Persönlicher Geltungsbereich</w:t>
            </w:r>
            <w:r>
              <w:rPr>
                <w:noProof/>
                <w:webHidden/>
              </w:rPr>
              <w:tab/>
            </w:r>
            <w:r>
              <w:rPr>
                <w:noProof/>
                <w:webHidden/>
              </w:rPr>
              <w:fldChar w:fldCharType="begin"/>
            </w:r>
            <w:r>
              <w:rPr>
                <w:noProof/>
                <w:webHidden/>
              </w:rPr>
              <w:instrText xml:space="preserve"> PAGEREF _Toc210903219 \h </w:instrText>
            </w:r>
            <w:r>
              <w:rPr>
                <w:noProof/>
                <w:webHidden/>
              </w:rPr>
            </w:r>
            <w:r>
              <w:rPr>
                <w:noProof/>
                <w:webHidden/>
              </w:rPr>
              <w:fldChar w:fldCharType="separate"/>
            </w:r>
            <w:r>
              <w:rPr>
                <w:noProof/>
                <w:webHidden/>
              </w:rPr>
              <w:t>12</w:t>
            </w:r>
            <w:r>
              <w:rPr>
                <w:noProof/>
                <w:webHidden/>
              </w:rPr>
              <w:fldChar w:fldCharType="end"/>
            </w:r>
          </w:hyperlink>
        </w:p>
        <w:p w14:paraId="0EEADFC0" w14:textId="56A4B342" w:rsidR="00F729BA" w:rsidRDefault="00F729BA">
          <w:pPr>
            <w:pStyle w:val="Verzeichnis2"/>
            <w:tabs>
              <w:tab w:val="right" w:leader="dot" w:pos="9091"/>
            </w:tabs>
            <w:rPr>
              <w:rFonts w:asciiTheme="minorHAnsi" w:eastAsiaTheme="minorEastAsia" w:hAnsiTheme="minorHAnsi" w:cstheme="minorBidi"/>
              <w:noProof/>
              <w:kern w:val="2"/>
              <w:szCs w:val="24"/>
              <w14:ligatures w14:val="standardContextual"/>
            </w:rPr>
          </w:pPr>
          <w:hyperlink w:anchor="_Toc210903220" w:history="1">
            <w:r w:rsidRPr="007E4CA5">
              <w:rPr>
                <w:rStyle w:val="Hyperlink"/>
                <w:rFonts w:cs="Arial"/>
                <w:b/>
                <w:noProof/>
              </w:rPr>
              <w:t>3.3 Zu wenig verpflichtend und präzis</w:t>
            </w:r>
            <w:r>
              <w:rPr>
                <w:noProof/>
                <w:webHidden/>
              </w:rPr>
              <w:tab/>
            </w:r>
            <w:r>
              <w:rPr>
                <w:noProof/>
                <w:webHidden/>
              </w:rPr>
              <w:fldChar w:fldCharType="begin"/>
            </w:r>
            <w:r>
              <w:rPr>
                <w:noProof/>
                <w:webHidden/>
              </w:rPr>
              <w:instrText xml:space="preserve"> PAGEREF _Toc210903220 \h </w:instrText>
            </w:r>
            <w:r>
              <w:rPr>
                <w:noProof/>
                <w:webHidden/>
              </w:rPr>
            </w:r>
            <w:r>
              <w:rPr>
                <w:noProof/>
                <w:webHidden/>
              </w:rPr>
              <w:fldChar w:fldCharType="separate"/>
            </w:r>
            <w:r>
              <w:rPr>
                <w:noProof/>
                <w:webHidden/>
              </w:rPr>
              <w:t>14</w:t>
            </w:r>
            <w:r>
              <w:rPr>
                <w:noProof/>
                <w:webHidden/>
              </w:rPr>
              <w:fldChar w:fldCharType="end"/>
            </w:r>
          </w:hyperlink>
        </w:p>
        <w:p w14:paraId="639691F4" w14:textId="0183BA1E" w:rsidR="00F729BA" w:rsidRDefault="00F729BA">
          <w:pPr>
            <w:pStyle w:val="Verzeichnis2"/>
            <w:tabs>
              <w:tab w:val="right" w:leader="dot" w:pos="9091"/>
            </w:tabs>
            <w:rPr>
              <w:rFonts w:asciiTheme="minorHAnsi" w:eastAsiaTheme="minorEastAsia" w:hAnsiTheme="minorHAnsi" w:cstheme="minorBidi"/>
              <w:noProof/>
              <w:kern w:val="2"/>
              <w:szCs w:val="24"/>
              <w14:ligatures w14:val="standardContextual"/>
            </w:rPr>
          </w:pPr>
          <w:hyperlink w:anchor="_Toc210903221" w:history="1">
            <w:r w:rsidRPr="007E4CA5">
              <w:rPr>
                <w:rStyle w:val="Hyperlink"/>
                <w:rFonts w:cs="Arial"/>
                <w:b/>
                <w:noProof/>
              </w:rPr>
              <w:t>3.4 Fehlen von Rechtsansprüchen</w:t>
            </w:r>
            <w:r>
              <w:rPr>
                <w:noProof/>
                <w:webHidden/>
              </w:rPr>
              <w:tab/>
            </w:r>
            <w:r>
              <w:rPr>
                <w:noProof/>
                <w:webHidden/>
              </w:rPr>
              <w:fldChar w:fldCharType="begin"/>
            </w:r>
            <w:r>
              <w:rPr>
                <w:noProof/>
                <w:webHidden/>
              </w:rPr>
              <w:instrText xml:space="preserve"> PAGEREF _Toc210903221 \h </w:instrText>
            </w:r>
            <w:r>
              <w:rPr>
                <w:noProof/>
                <w:webHidden/>
              </w:rPr>
            </w:r>
            <w:r>
              <w:rPr>
                <w:noProof/>
                <w:webHidden/>
              </w:rPr>
              <w:fldChar w:fldCharType="separate"/>
            </w:r>
            <w:r>
              <w:rPr>
                <w:noProof/>
                <w:webHidden/>
              </w:rPr>
              <w:t>15</w:t>
            </w:r>
            <w:r>
              <w:rPr>
                <w:noProof/>
                <w:webHidden/>
              </w:rPr>
              <w:fldChar w:fldCharType="end"/>
            </w:r>
          </w:hyperlink>
        </w:p>
        <w:p w14:paraId="226A293D" w14:textId="319FC9EA" w:rsidR="00F729BA" w:rsidRDefault="00F729BA">
          <w:pPr>
            <w:pStyle w:val="Verzeichnis2"/>
            <w:tabs>
              <w:tab w:val="right" w:leader="dot" w:pos="9091"/>
            </w:tabs>
            <w:rPr>
              <w:rFonts w:asciiTheme="minorHAnsi" w:eastAsiaTheme="minorEastAsia" w:hAnsiTheme="minorHAnsi" w:cstheme="minorBidi"/>
              <w:noProof/>
              <w:kern w:val="2"/>
              <w:szCs w:val="24"/>
              <w14:ligatures w14:val="standardContextual"/>
            </w:rPr>
          </w:pPr>
          <w:hyperlink w:anchor="_Toc210903222" w:history="1">
            <w:r w:rsidRPr="007E4CA5">
              <w:rPr>
                <w:rStyle w:val="Hyperlink"/>
                <w:rFonts w:cs="Arial"/>
                <w:b/>
                <w:noProof/>
              </w:rPr>
              <w:t>3.5 Fehlen von organisatorischen Vorkehren zur Umsetzung der BRK</w:t>
            </w:r>
            <w:r>
              <w:rPr>
                <w:noProof/>
                <w:webHidden/>
              </w:rPr>
              <w:tab/>
            </w:r>
            <w:r>
              <w:rPr>
                <w:noProof/>
                <w:webHidden/>
              </w:rPr>
              <w:fldChar w:fldCharType="begin"/>
            </w:r>
            <w:r>
              <w:rPr>
                <w:noProof/>
                <w:webHidden/>
              </w:rPr>
              <w:instrText xml:space="preserve"> PAGEREF _Toc210903222 \h </w:instrText>
            </w:r>
            <w:r>
              <w:rPr>
                <w:noProof/>
                <w:webHidden/>
              </w:rPr>
            </w:r>
            <w:r>
              <w:rPr>
                <w:noProof/>
                <w:webHidden/>
              </w:rPr>
              <w:fldChar w:fldCharType="separate"/>
            </w:r>
            <w:r>
              <w:rPr>
                <w:noProof/>
                <w:webHidden/>
              </w:rPr>
              <w:t>17</w:t>
            </w:r>
            <w:r>
              <w:rPr>
                <w:noProof/>
                <w:webHidden/>
              </w:rPr>
              <w:fldChar w:fldCharType="end"/>
            </w:r>
          </w:hyperlink>
        </w:p>
        <w:p w14:paraId="5DBCDCB4" w14:textId="7D2E095F" w:rsidR="00F729BA" w:rsidRDefault="00F729BA">
          <w:pPr>
            <w:pStyle w:val="Verzeichnis2"/>
            <w:tabs>
              <w:tab w:val="right" w:leader="dot" w:pos="9091"/>
            </w:tabs>
            <w:rPr>
              <w:rFonts w:asciiTheme="minorHAnsi" w:eastAsiaTheme="minorEastAsia" w:hAnsiTheme="minorHAnsi" w:cstheme="minorBidi"/>
              <w:noProof/>
              <w:kern w:val="2"/>
              <w:szCs w:val="24"/>
              <w14:ligatures w14:val="standardContextual"/>
            </w:rPr>
          </w:pPr>
          <w:hyperlink w:anchor="_Toc210903223" w:history="1">
            <w:r w:rsidRPr="007E4CA5">
              <w:rPr>
                <w:rStyle w:val="Hyperlink"/>
                <w:rFonts w:cs="Arial"/>
                <w:b/>
                <w:noProof/>
              </w:rPr>
              <w:t>3.6 Fehlen einer unabhängigen BRK-Monitoring-Stelle</w:t>
            </w:r>
            <w:r>
              <w:rPr>
                <w:noProof/>
                <w:webHidden/>
              </w:rPr>
              <w:tab/>
            </w:r>
            <w:r>
              <w:rPr>
                <w:noProof/>
                <w:webHidden/>
              </w:rPr>
              <w:fldChar w:fldCharType="begin"/>
            </w:r>
            <w:r>
              <w:rPr>
                <w:noProof/>
                <w:webHidden/>
              </w:rPr>
              <w:instrText xml:space="preserve"> PAGEREF _Toc210903223 \h </w:instrText>
            </w:r>
            <w:r>
              <w:rPr>
                <w:noProof/>
                <w:webHidden/>
              </w:rPr>
            </w:r>
            <w:r>
              <w:rPr>
                <w:noProof/>
                <w:webHidden/>
              </w:rPr>
              <w:fldChar w:fldCharType="separate"/>
            </w:r>
            <w:r>
              <w:rPr>
                <w:noProof/>
                <w:webHidden/>
              </w:rPr>
              <w:t>19</w:t>
            </w:r>
            <w:r>
              <w:rPr>
                <w:noProof/>
                <w:webHidden/>
              </w:rPr>
              <w:fldChar w:fldCharType="end"/>
            </w:r>
          </w:hyperlink>
        </w:p>
        <w:p w14:paraId="316BD389" w14:textId="7B0FC330" w:rsidR="00F729BA" w:rsidRDefault="00F729BA">
          <w:pPr>
            <w:pStyle w:val="Verzeichnis2"/>
            <w:tabs>
              <w:tab w:val="right" w:leader="dot" w:pos="9091"/>
            </w:tabs>
            <w:rPr>
              <w:rFonts w:asciiTheme="minorHAnsi" w:eastAsiaTheme="minorEastAsia" w:hAnsiTheme="minorHAnsi" w:cstheme="minorBidi"/>
              <w:noProof/>
              <w:kern w:val="2"/>
              <w:szCs w:val="24"/>
              <w14:ligatures w14:val="standardContextual"/>
            </w:rPr>
          </w:pPr>
          <w:hyperlink w:anchor="_Toc210903224" w:history="1">
            <w:r w:rsidRPr="007E4CA5">
              <w:rPr>
                <w:rStyle w:val="Hyperlink"/>
                <w:rFonts w:cs="Arial"/>
                <w:b/>
                <w:noProof/>
              </w:rPr>
              <w:t>3.7 Insbesondere zum Wohnen</w:t>
            </w:r>
            <w:r>
              <w:rPr>
                <w:noProof/>
                <w:webHidden/>
              </w:rPr>
              <w:tab/>
            </w:r>
            <w:r>
              <w:rPr>
                <w:noProof/>
                <w:webHidden/>
              </w:rPr>
              <w:fldChar w:fldCharType="begin"/>
            </w:r>
            <w:r>
              <w:rPr>
                <w:noProof/>
                <w:webHidden/>
              </w:rPr>
              <w:instrText xml:space="preserve"> PAGEREF _Toc210903224 \h </w:instrText>
            </w:r>
            <w:r>
              <w:rPr>
                <w:noProof/>
                <w:webHidden/>
              </w:rPr>
            </w:r>
            <w:r>
              <w:rPr>
                <w:noProof/>
                <w:webHidden/>
              </w:rPr>
              <w:fldChar w:fldCharType="separate"/>
            </w:r>
            <w:r>
              <w:rPr>
                <w:noProof/>
                <w:webHidden/>
              </w:rPr>
              <w:t>19</w:t>
            </w:r>
            <w:r>
              <w:rPr>
                <w:noProof/>
                <w:webHidden/>
              </w:rPr>
              <w:fldChar w:fldCharType="end"/>
            </w:r>
          </w:hyperlink>
        </w:p>
        <w:p w14:paraId="109F0910" w14:textId="2F8B73BD" w:rsidR="00F729BA" w:rsidRDefault="00F729BA">
          <w:pPr>
            <w:pStyle w:val="Verzeichnis3"/>
            <w:tabs>
              <w:tab w:val="right" w:leader="dot" w:pos="9091"/>
            </w:tabs>
            <w:rPr>
              <w:rFonts w:asciiTheme="minorHAnsi" w:eastAsiaTheme="minorEastAsia" w:hAnsiTheme="minorHAnsi" w:cstheme="minorBidi"/>
              <w:noProof/>
              <w:kern w:val="2"/>
              <w:szCs w:val="24"/>
              <w14:ligatures w14:val="standardContextual"/>
            </w:rPr>
          </w:pPr>
          <w:hyperlink w:anchor="_Toc210903225" w:history="1">
            <w:r w:rsidRPr="007E4CA5">
              <w:rPr>
                <w:rStyle w:val="Hyperlink"/>
                <w:rFonts w:cs="Arial"/>
                <w:noProof/>
              </w:rPr>
              <w:t>3.7.1 Einleitung</w:t>
            </w:r>
            <w:r>
              <w:rPr>
                <w:noProof/>
                <w:webHidden/>
              </w:rPr>
              <w:tab/>
            </w:r>
            <w:r>
              <w:rPr>
                <w:noProof/>
                <w:webHidden/>
              </w:rPr>
              <w:fldChar w:fldCharType="begin"/>
            </w:r>
            <w:r>
              <w:rPr>
                <w:noProof/>
                <w:webHidden/>
              </w:rPr>
              <w:instrText xml:space="preserve"> PAGEREF _Toc210903225 \h </w:instrText>
            </w:r>
            <w:r>
              <w:rPr>
                <w:noProof/>
                <w:webHidden/>
              </w:rPr>
            </w:r>
            <w:r>
              <w:rPr>
                <w:noProof/>
                <w:webHidden/>
              </w:rPr>
              <w:fldChar w:fldCharType="separate"/>
            </w:r>
            <w:r>
              <w:rPr>
                <w:noProof/>
                <w:webHidden/>
              </w:rPr>
              <w:t>19</w:t>
            </w:r>
            <w:r>
              <w:rPr>
                <w:noProof/>
                <w:webHidden/>
              </w:rPr>
              <w:fldChar w:fldCharType="end"/>
            </w:r>
          </w:hyperlink>
        </w:p>
        <w:p w14:paraId="402B5991" w14:textId="28CB00A7" w:rsidR="00F729BA" w:rsidRDefault="00F729BA">
          <w:pPr>
            <w:pStyle w:val="Verzeichnis3"/>
            <w:tabs>
              <w:tab w:val="right" w:leader="dot" w:pos="9091"/>
            </w:tabs>
            <w:rPr>
              <w:rFonts w:asciiTheme="minorHAnsi" w:eastAsiaTheme="minorEastAsia" w:hAnsiTheme="minorHAnsi" w:cstheme="minorBidi"/>
              <w:noProof/>
              <w:kern w:val="2"/>
              <w:szCs w:val="24"/>
              <w14:ligatures w14:val="standardContextual"/>
            </w:rPr>
          </w:pPr>
          <w:hyperlink w:anchor="_Toc210903226" w:history="1">
            <w:r w:rsidRPr="007E4CA5">
              <w:rPr>
                <w:rStyle w:val="Hyperlink"/>
                <w:rFonts w:cs="Arial"/>
                <w:noProof/>
              </w:rPr>
              <w:t>3.7.2 Zum 3. Abschnitt</w:t>
            </w:r>
            <w:r>
              <w:rPr>
                <w:noProof/>
                <w:webHidden/>
              </w:rPr>
              <w:tab/>
            </w:r>
            <w:r>
              <w:rPr>
                <w:noProof/>
                <w:webHidden/>
              </w:rPr>
              <w:fldChar w:fldCharType="begin"/>
            </w:r>
            <w:r>
              <w:rPr>
                <w:noProof/>
                <w:webHidden/>
              </w:rPr>
              <w:instrText xml:space="preserve"> PAGEREF _Toc210903226 \h </w:instrText>
            </w:r>
            <w:r>
              <w:rPr>
                <w:noProof/>
                <w:webHidden/>
              </w:rPr>
            </w:r>
            <w:r>
              <w:rPr>
                <w:noProof/>
                <w:webHidden/>
              </w:rPr>
              <w:fldChar w:fldCharType="separate"/>
            </w:r>
            <w:r>
              <w:rPr>
                <w:noProof/>
                <w:webHidden/>
              </w:rPr>
              <w:t>21</w:t>
            </w:r>
            <w:r>
              <w:rPr>
                <w:noProof/>
                <w:webHidden/>
              </w:rPr>
              <w:fldChar w:fldCharType="end"/>
            </w:r>
          </w:hyperlink>
        </w:p>
        <w:p w14:paraId="5A17F6B3" w14:textId="78A34527" w:rsidR="00F729BA" w:rsidRDefault="00F729BA">
          <w:pPr>
            <w:pStyle w:val="Verzeichnis3"/>
            <w:tabs>
              <w:tab w:val="right" w:leader="dot" w:pos="9091"/>
            </w:tabs>
            <w:rPr>
              <w:rFonts w:asciiTheme="minorHAnsi" w:eastAsiaTheme="minorEastAsia" w:hAnsiTheme="minorHAnsi" w:cstheme="minorBidi"/>
              <w:noProof/>
              <w:kern w:val="2"/>
              <w:szCs w:val="24"/>
              <w14:ligatures w14:val="standardContextual"/>
            </w:rPr>
          </w:pPr>
          <w:hyperlink w:anchor="_Toc210903227" w:history="1">
            <w:r w:rsidRPr="007E4CA5">
              <w:rPr>
                <w:rStyle w:val="Hyperlink"/>
                <w:rFonts w:cs="Arial"/>
                <w:noProof/>
              </w:rPr>
              <w:t>3.7.3 Zum 4. Abschnitt</w:t>
            </w:r>
            <w:r>
              <w:rPr>
                <w:noProof/>
                <w:webHidden/>
              </w:rPr>
              <w:tab/>
            </w:r>
            <w:r>
              <w:rPr>
                <w:noProof/>
                <w:webHidden/>
              </w:rPr>
              <w:fldChar w:fldCharType="begin"/>
            </w:r>
            <w:r>
              <w:rPr>
                <w:noProof/>
                <w:webHidden/>
              </w:rPr>
              <w:instrText xml:space="preserve"> PAGEREF _Toc210903227 \h </w:instrText>
            </w:r>
            <w:r>
              <w:rPr>
                <w:noProof/>
                <w:webHidden/>
              </w:rPr>
            </w:r>
            <w:r>
              <w:rPr>
                <w:noProof/>
                <w:webHidden/>
              </w:rPr>
              <w:fldChar w:fldCharType="separate"/>
            </w:r>
            <w:r>
              <w:rPr>
                <w:noProof/>
                <w:webHidden/>
              </w:rPr>
              <w:t>23</w:t>
            </w:r>
            <w:r>
              <w:rPr>
                <w:noProof/>
                <w:webHidden/>
              </w:rPr>
              <w:fldChar w:fldCharType="end"/>
            </w:r>
          </w:hyperlink>
        </w:p>
        <w:p w14:paraId="646027DD" w14:textId="7884E615" w:rsidR="00F729BA" w:rsidRDefault="00F729BA">
          <w:pPr>
            <w:pStyle w:val="Verzeichnis2"/>
            <w:tabs>
              <w:tab w:val="right" w:leader="dot" w:pos="9091"/>
            </w:tabs>
            <w:rPr>
              <w:rFonts w:asciiTheme="minorHAnsi" w:eastAsiaTheme="minorEastAsia" w:hAnsiTheme="minorHAnsi" w:cstheme="minorBidi"/>
              <w:noProof/>
              <w:kern w:val="2"/>
              <w:szCs w:val="24"/>
              <w14:ligatures w14:val="standardContextual"/>
            </w:rPr>
          </w:pPr>
          <w:hyperlink w:anchor="_Toc210903228" w:history="1">
            <w:r w:rsidRPr="007E4CA5">
              <w:rPr>
                <w:rStyle w:val="Hyperlink"/>
                <w:rFonts w:cs="Arial"/>
                <w:b/>
                <w:noProof/>
              </w:rPr>
              <w:t>3.8 Fehlen der Grundlage für einen Behindertenausweis</w:t>
            </w:r>
            <w:r>
              <w:rPr>
                <w:noProof/>
                <w:webHidden/>
              </w:rPr>
              <w:tab/>
            </w:r>
            <w:r>
              <w:rPr>
                <w:noProof/>
                <w:webHidden/>
              </w:rPr>
              <w:fldChar w:fldCharType="begin"/>
            </w:r>
            <w:r>
              <w:rPr>
                <w:noProof/>
                <w:webHidden/>
              </w:rPr>
              <w:instrText xml:space="preserve"> PAGEREF _Toc210903228 \h </w:instrText>
            </w:r>
            <w:r>
              <w:rPr>
                <w:noProof/>
                <w:webHidden/>
              </w:rPr>
            </w:r>
            <w:r>
              <w:rPr>
                <w:noProof/>
                <w:webHidden/>
              </w:rPr>
              <w:fldChar w:fldCharType="separate"/>
            </w:r>
            <w:r>
              <w:rPr>
                <w:noProof/>
                <w:webHidden/>
              </w:rPr>
              <w:t>23</w:t>
            </w:r>
            <w:r>
              <w:rPr>
                <w:noProof/>
                <w:webHidden/>
              </w:rPr>
              <w:fldChar w:fldCharType="end"/>
            </w:r>
          </w:hyperlink>
        </w:p>
        <w:p w14:paraId="57E62645" w14:textId="2D4468FD" w:rsidR="00F729BA" w:rsidRDefault="00F729BA">
          <w:pPr>
            <w:pStyle w:val="Verzeichnis1"/>
            <w:tabs>
              <w:tab w:val="right" w:leader="dot" w:pos="9091"/>
            </w:tabs>
            <w:rPr>
              <w:rFonts w:asciiTheme="minorHAnsi" w:eastAsiaTheme="minorEastAsia" w:hAnsiTheme="minorHAnsi" w:cstheme="minorBidi"/>
              <w:noProof/>
              <w:kern w:val="2"/>
              <w:szCs w:val="24"/>
              <w14:ligatures w14:val="standardContextual"/>
            </w:rPr>
          </w:pPr>
          <w:hyperlink w:anchor="_Toc210903229" w:history="1">
            <w:r w:rsidRPr="007E4CA5">
              <w:rPr>
                <w:rStyle w:val="Hyperlink"/>
                <w:noProof/>
              </w:rPr>
              <w:t>4. Zum VE-Teilrevision IVG</w:t>
            </w:r>
            <w:r>
              <w:rPr>
                <w:noProof/>
                <w:webHidden/>
              </w:rPr>
              <w:tab/>
            </w:r>
            <w:r>
              <w:rPr>
                <w:noProof/>
                <w:webHidden/>
              </w:rPr>
              <w:fldChar w:fldCharType="begin"/>
            </w:r>
            <w:r>
              <w:rPr>
                <w:noProof/>
                <w:webHidden/>
              </w:rPr>
              <w:instrText xml:space="preserve"> PAGEREF _Toc210903229 \h </w:instrText>
            </w:r>
            <w:r>
              <w:rPr>
                <w:noProof/>
                <w:webHidden/>
              </w:rPr>
            </w:r>
            <w:r>
              <w:rPr>
                <w:noProof/>
                <w:webHidden/>
              </w:rPr>
              <w:fldChar w:fldCharType="separate"/>
            </w:r>
            <w:r>
              <w:rPr>
                <w:noProof/>
                <w:webHidden/>
              </w:rPr>
              <w:t>24</w:t>
            </w:r>
            <w:r>
              <w:rPr>
                <w:noProof/>
                <w:webHidden/>
              </w:rPr>
              <w:fldChar w:fldCharType="end"/>
            </w:r>
          </w:hyperlink>
        </w:p>
        <w:p w14:paraId="33570EDE" w14:textId="252A630B" w:rsidR="00F729BA" w:rsidRDefault="00F729BA">
          <w:pPr>
            <w:pStyle w:val="Verzeichnis2"/>
            <w:tabs>
              <w:tab w:val="right" w:leader="dot" w:pos="9091"/>
            </w:tabs>
            <w:rPr>
              <w:rFonts w:asciiTheme="minorHAnsi" w:eastAsiaTheme="minorEastAsia" w:hAnsiTheme="minorHAnsi" w:cstheme="minorBidi"/>
              <w:noProof/>
              <w:kern w:val="2"/>
              <w:szCs w:val="24"/>
              <w14:ligatures w14:val="standardContextual"/>
            </w:rPr>
          </w:pPr>
          <w:hyperlink w:anchor="_Toc210903230" w:history="1">
            <w:r w:rsidRPr="007E4CA5">
              <w:rPr>
                <w:rStyle w:val="Hyperlink"/>
                <w:rFonts w:cs="Arial"/>
                <w:b/>
                <w:noProof/>
              </w:rPr>
              <w:t>4.1 Einleitung</w:t>
            </w:r>
            <w:r>
              <w:rPr>
                <w:noProof/>
                <w:webHidden/>
              </w:rPr>
              <w:tab/>
            </w:r>
            <w:r>
              <w:rPr>
                <w:noProof/>
                <w:webHidden/>
              </w:rPr>
              <w:fldChar w:fldCharType="begin"/>
            </w:r>
            <w:r>
              <w:rPr>
                <w:noProof/>
                <w:webHidden/>
              </w:rPr>
              <w:instrText xml:space="preserve"> PAGEREF _Toc210903230 \h </w:instrText>
            </w:r>
            <w:r>
              <w:rPr>
                <w:noProof/>
                <w:webHidden/>
              </w:rPr>
            </w:r>
            <w:r>
              <w:rPr>
                <w:noProof/>
                <w:webHidden/>
              </w:rPr>
              <w:fldChar w:fldCharType="separate"/>
            </w:r>
            <w:r>
              <w:rPr>
                <w:noProof/>
                <w:webHidden/>
              </w:rPr>
              <w:t>24</w:t>
            </w:r>
            <w:r>
              <w:rPr>
                <w:noProof/>
                <w:webHidden/>
              </w:rPr>
              <w:fldChar w:fldCharType="end"/>
            </w:r>
          </w:hyperlink>
        </w:p>
        <w:p w14:paraId="2DE22068" w14:textId="6731E065" w:rsidR="00F729BA" w:rsidRDefault="00F729BA">
          <w:pPr>
            <w:pStyle w:val="Verzeichnis2"/>
            <w:tabs>
              <w:tab w:val="right" w:leader="dot" w:pos="9091"/>
            </w:tabs>
            <w:rPr>
              <w:rFonts w:asciiTheme="minorHAnsi" w:eastAsiaTheme="minorEastAsia" w:hAnsiTheme="minorHAnsi" w:cstheme="minorBidi"/>
              <w:noProof/>
              <w:kern w:val="2"/>
              <w:szCs w:val="24"/>
              <w14:ligatures w14:val="standardContextual"/>
            </w:rPr>
          </w:pPr>
          <w:hyperlink w:anchor="_Toc210903231" w:history="1">
            <w:r w:rsidRPr="007E4CA5">
              <w:rPr>
                <w:rStyle w:val="Hyperlink"/>
                <w:rFonts w:cs="Arial"/>
                <w:b/>
                <w:noProof/>
              </w:rPr>
              <w:t>4.2 Assistenzbeitrag: Verbesserung des Zugangs</w:t>
            </w:r>
            <w:r>
              <w:rPr>
                <w:noProof/>
                <w:webHidden/>
              </w:rPr>
              <w:tab/>
            </w:r>
            <w:r>
              <w:rPr>
                <w:noProof/>
                <w:webHidden/>
              </w:rPr>
              <w:fldChar w:fldCharType="begin"/>
            </w:r>
            <w:r>
              <w:rPr>
                <w:noProof/>
                <w:webHidden/>
              </w:rPr>
              <w:instrText xml:space="preserve"> PAGEREF _Toc210903231 \h </w:instrText>
            </w:r>
            <w:r>
              <w:rPr>
                <w:noProof/>
                <w:webHidden/>
              </w:rPr>
            </w:r>
            <w:r>
              <w:rPr>
                <w:noProof/>
                <w:webHidden/>
              </w:rPr>
              <w:fldChar w:fldCharType="separate"/>
            </w:r>
            <w:r>
              <w:rPr>
                <w:noProof/>
                <w:webHidden/>
              </w:rPr>
              <w:t>25</w:t>
            </w:r>
            <w:r>
              <w:rPr>
                <w:noProof/>
                <w:webHidden/>
              </w:rPr>
              <w:fldChar w:fldCharType="end"/>
            </w:r>
          </w:hyperlink>
        </w:p>
        <w:p w14:paraId="570213BE" w14:textId="15FA2B09" w:rsidR="00F729BA" w:rsidRDefault="00F729BA">
          <w:pPr>
            <w:pStyle w:val="Verzeichnis2"/>
            <w:tabs>
              <w:tab w:val="right" w:leader="dot" w:pos="9091"/>
            </w:tabs>
            <w:rPr>
              <w:rFonts w:asciiTheme="minorHAnsi" w:eastAsiaTheme="minorEastAsia" w:hAnsiTheme="minorHAnsi" w:cstheme="minorBidi"/>
              <w:noProof/>
              <w:kern w:val="2"/>
              <w:szCs w:val="24"/>
              <w14:ligatures w14:val="standardContextual"/>
            </w:rPr>
          </w:pPr>
          <w:hyperlink w:anchor="_Toc210903232" w:history="1">
            <w:r w:rsidRPr="007E4CA5">
              <w:rPr>
                <w:rStyle w:val="Hyperlink"/>
                <w:rFonts w:cs="Arial"/>
                <w:b/>
                <w:noProof/>
              </w:rPr>
              <w:t>4.3 Assistenzbeitrag: Optimierungen</w:t>
            </w:r>
            <w:r>
              <w:rPr>
                <w:noProof/>
                <w:webHidden/>
              </w:rPr>
              <w:tab/>
            </w:r>
            <w:r>
              <w:rPr>
                <w:noProof/>
                <w:webHidden/>
              </w:rPr>
              <w:fldChar w:fldCharType="begin"/>
            </w:r>
            <w:r>
              <w:rPr>
                <w:noProof/>
                <w:webHidden/>
              </w:rPr>
              <w:instrText xml:space="preserve"> PAGEREF _Toc210903232 \h </w:instrText>
            </w:r>
            <w:r>
              <w:rPr>
                <w:noProof/>
                <w:webHidden/>
              </w:rPr>
            </w:r>
            <w:r>
              <w:rPr>
                <w:noProof/>
                <w:webHidden/>
              </w:rPr>
              <w:fldChar w:fldCharType="separate"/>
            </w:r>
            <w:r>
              <w:rPr>
                <w:noProof/>
                <w:webHidden/>
              </w:rPr>
              <w:t>27</w:t>
            </w:r>
            <w:r>
              <w:rPr>
                <w:noProof/>
                <w:webHidden/>
              </w:rPr>
              <w:fldChar w:fldCharType="end"/>
            </w:r>
          </w:hyperlink>
        </w:p>
        <w:p w14:paraId="05BC3153" w14:textId="0F2AB98F" w:rsidR="00F729BA" w:rsidRDefault="00F729BA">
          <w:pPr>
            <w:pStyle w:val="Verzeichnis2"/>
            <w:tabs>
              <w:tab w:val="right" w:leader="dot" w:pos="9091"/>
            </w:tabs>
            <w:rPr>
              <w:rFonts w:asciiTheme="minorHAnsi" w:eastAsiaTheme="minorEastAsia" w:hAnsiTheme="minorHAnsi" w:cstheme="minorBidi"/>
              <w:noProof/>
              <w:kern w:val="2"/>
              <w:szCs w:val="24"/>
              <w14:ligatures w14:val="standardContextual"/>
            </w:rPr>
          </w:pPr>
          <w:hyperlink w:anchor="_Toc210903233" w:history="1">
            <w:r w:rsidRPr="007E4CA5">
              <w:rPr>
                <w:rStyle w:val="Hyperlink"/>
                <w:rFonts w:cs="Arial"/>
                <w:b/>
                <w:noProof/>
              </w:rPr>
              <w:t>4.4 Sinnesbehinderte im Assistenzbeitrag IV als Sonderfall</w:t>
            </w:r>
            <w:r>
              <w:rPr>
                <w:noProof/>
                <w:webHidden/>
              </w:rPr>
              <w:tab/>
            </w:r>
            <w:r>
              <w:rPr>
                <w:noProof/>
                <w:webHidden/>
              </w:rPr>
              <w:fldChar w:fldCharType="begin"/>
            </w:r>
            <w:r>
              <w:rPr>
                <w:noProof/>
                <w:webHidden/>
              </w:rPr>
              <w:instrText xml:space="preserve"> PAGEREF _Toc210903233 \h </w:instrText>
            </w:r>
            <w:r>
              <w:rPr>
                <w:noProof/>
                <w:webHidden/>
              </w:rPr>
            </w:r>
            <w:r>
              <w:rPr>
                <w:noProof/>
                <w:webHidden/>
              </w:rPr>
              <w:fldChar w:fldCharType="separate"/>
            </w:r>
            <w:r>
              <w:rPr>
                <w:noProof/>
                <w:webHidden/>
              </w:rPr>
              <w:t>28</w:t>
            </w:r>
            <w:r>
              <w:rPr>
                <w:noProof/>
                <w:webHidden/>
              </w:rPr>
              <w:fldChar w:fldCharType="end"/>
            </w:r>
          </w:hyperlink>
        </w:p>
        <w:p w14:paraId="1FBCF3B4" w14:textId="033E519E" w:rsidR="00F729BA" w:rsidRDefault="00F729BA">
          <w:pPr>
            <w:pStyle w:val="Verzeichnis3"/>
            <w:tabs>
              <w:tab w:val="right" w:leader="dot" w:pos="9091"/>
            </w:tabs>
            <w:rPr>
              <w:rFonts w:asciiTheme="minorHAnsi" w:eastAsiaTheme="minorEastAsia" w:hAnsiTheme="minorHAnsi" w:cstheme="minorBidi"/>
              <w:noProof/>
              <w:kern w:val="2"/>
              <w:szCs w:val="24"/>
              <w14:ligatures w14:val="standardContextual"/>
            </w:rPr>
          </w:pPr>
          <w:hyperlink w:anchor="_Toc210903234" w:history="1">
            <w:r w:rsidRPr="007E4CA5">
              <w:rPr>
                <w:rStyle w:val="Hyperlink"/>
                <w:rFonts w:cs="Arial"/>
                <w:noProof/>
              </w:rPr>
              <w:t>4.4.1 FAKT: Stolperstein für Sinnesbehinderte</w:t>
            </w:r>
            <w:r>
              <w:rPr>
                <w:noProof/>
                <w:webHidden/>
              </w:rPr>
              <w:tab/>
            </w:r>
            <w:r>
              <w:rPr>
                <w:noProof/>
                <w:webHidden/>
              </w:rPr>
              <w:fldChar w:fldCharType="begin"/>
            </w:r>
            <w:r>
              <w:rPr>
                <w:noProof/>
                <w:webHidden/>
              </w:rPr>
              <w:instrText xml:space="preserve"> PAGEREF _Toc210903234 \h </w:instrText>
            </w:r>
            <w:r>
              <w:rPr>
                <w:noProof/>
                <w:webHidden/>
              </w:rPr>
            </w:r>
            <w:r>
              <w:rPr>
                <w:noProof/>
                <w:webHidden/>
              </w:rPr>
              <w:fldChar w:fldCharType="separate"/>
            </w:r>
            <w:r>
              <w:rPr>
                <w:noProof/>
                <w:webHidden/>
              </w:rPr>
              <w:t>28</w:t>
            </w:r>
            <w:r>
              <w:rPr>
                <w:noProof/>
                <w:webHidden/>
              </w:rPr>
              <w:fldChar w:fldCharType="end"/>
            </w:r>
          </w:hyperlink>
        </w:p>
        <w:p w14:paraId="2EDDFCDC" w14:textId="5871724B" w:rsidR="00F729BA" w:rsidRDefault="00F729BA">
          <w:pPr>
            <w:pStyle w:val="Verzeichnis3"/>
            <w:tabs>
              <w:tab w:val="right" w:leader="dot" w:pos="9091"/>
            </w:tabs>
            <w:rPr>
              <w:rFonts w:asciiTheme="minorHAnsi" w:eastAsiaTheme="minorEastAsia" w:hAnsiTheme="minorHAnsi" w:cstheme="minorBidi"/>
              <w:noProof/>
              <w:kern w:val="2"/>
              <w:szCs w:val="24"/>
              <w14:ligatures w14:val="standardContextual"/>
            </w:rPr>
          </w:pPr>
          <w:hyperlink w:anchor="_Toc210903235" w:history="1">
            <w:r w:rsidRPr="007E4CA5">
              <w:rPr>
                <w:rStyle w:val="Hyperlink"/>
                <w:rFonts w:cs="Arial"/>
                <w:noProof/>
              </w:rPr>
              <w:t>4.4.2 Sinnesbehinderte im FAKT</w:t>
            </w:r>
            <w:r>
              <w:rPr>
                <w:noProof/>
                <w:webHidden/>
              </w:rPr>
              <w:tab/>
            </w:r>
            <w:r>
              <w:rPr>
                <w:noProof/>
                <w:webHidden/>
              </w:rPr>
              <w:fldChar w:fldCharType="begin"/>
            </w:r>
            <w:r>
              <w:rPr>
                <w:noProof/>
                <w:webHidden/>
              </w:rPr>
              <w:instrText xml:space="preserve"> PAGEREF _Toc210903235 \h </w:instrText>
            </w:r>
            <w:r>
              <w:rPr>
                <w:noProof/>
                <w:webHidden/>
              </w:rPr>
            </w:r>
            <w:r>
              <w:rPr>
                <w:noProof/>
                <w:webHidden/>
              </w:rPr>
              <w:fldChar w:fldCharType="separate"/>
            </w:r>
            <w:r>
              <w:rPr>
                <w:noProof/>
                <w:webHidden/>
              </w:rPr>
              <w:t>28</w:t>
            </w:r>
            <w:r>
              <w:rPr>
                <w:noProof/>
                <w:webHidden/>
              </w:rPr>
              <w:fldChar w:fldCharType="end"/>
            </w:r>
          </w:hyperlink>
        </w:p>
        <w:p w14:paraId="153A4DCE" w14:textId="46D57A62" w:rsidR="00F729BA" w:rsidRDefault="00F729BA">
          <w:pPr>
            <w:pStyle w:val="Verzeichnis3"/>
            <w:tabs>
              <w:tab w:val="right" w:leader="dot" w:pos="9091"/>
            </w:tabs>
            <w:rPr>
              <w:rFonts w:asciiTheme="minorHAnsi" w:eastAsiaTheme="minorEastAsia" w:hAnsiTheme="minorHAnsi" w:cstheme="minorBidi"/>
              <w:noProof/>
              <w:kern w:val="2"/>
              <w:szCs w:val="24"/>
              <w14:ligatures w14:val="standardContextual"/>
            </w:rPr>
          </w:pPr>
          <w:hyperlink w:anchor="_Toc210903236" w:history="1">
            <w:r w:rsidRPr="007E4CA5">
              <w:rPr>
                <w:rStyle w:val="Hyperlink"/>
                <w:rFonts w:cs="Arial"/>
                <w:noProof/>
              </w:rPr>
              <w:t>4.4.3 Vorteile für Sinnesbehinderte im Pilotprojekt Assistenzbudget (PAB)</w:t>
            </w:r>
            <w:r>
              <w:rPr>
                <w:noProof/>
                <w:webHidden/>
              </w:rPr>
              <w:tab/>
            </w:r>
            <w:r>
              <w:rPr>
                <w:noProof/>
                <w:webHidden/>
              </w:rPr>
              <w:fldChar w:fldCharType="begin"/>
            </w:r>
            <w:r>
              <w:rPr>
                <w:noProof/>
                <w:webHidden/>
              </w:rPr>
              <w:instrText xml:space="preserve"> PAGEREF _Toc210903236 \h </w:instrText>
            </w:r>
            <w:r>
              <w:rPr>
                <w:noProof/>
                <w:webHidden/>
              </w:rPr>
            </w:r>
            <w:r>
              <w:rPr>
                <w:noProof/>
                <w:webHidden/>
              </w:rPr>
              <w:fldChar w:fldCharType="separate"/>
            </w:r>
            <w:r>
              <w:rPr>
                <w:noProof/>
                <w:webHidden/>
              </w:rPr>
              <w:t>30</w:t>
            </w:r>
            <w:r>
              <w:rPr>
                <w:noProof/>
                <w:webHidden/>
              </w:rPr>
              <w:fldChar w:fldCharType="end"/>
            </w:r>
          </w:hyperlink>
        </w:p>
        <w:p w14:paraId="78C78F0E" w14:textId="4B5F55FD" w:rsidR="00F729BA" w:rsidRDefault="00F729BA">
          <w:pPr>
            <w:pStyle w:val="Verzeichnis3"/>
            <w:tabs>
              <w:tab w:val="right" w:leader="dot" w:pos="9091"/>
            </w:tabs>
            <w:rPr>
              <w:rFonts w:asciiTheme="minorHAnsi" w:eastAsiaTheme="minorEastAsia" w:hAnsiTheme="minorHAnsi" w:cstheme="minorBidi"/>
              <w:noProof/>
              <w:kern w:val="2"/>
              <w:szCs w:val="24"/>
              <w14:ligatures w14:val="standardContextual"/>
            </w:rPr>
          </w:pPr>
          <w:hyperlink w:anchor="_Toc210903237" w:history="1">
            <w:r w:rsidRPr="007E4CA5">
              <w:rPr>
                <w:rStyle w:val="Hyperlink"/>
                <w:rFonts w:cs="Arial"/>
                <w:noProof/>
              </w:rPr>
              <w:t>4.4.4 Umfragen bestätigen Annahmen</w:t>
            </w:r>
            <w:r>
              <w:rPr>
                <w:noProof/>
                <w:webHidden/>
              </w:rPr>
              <w:tab/>
            </w:r>
            <w:r>
              <w:rPr>
                <w:noProof/>
                <w:webHidden/>
              </w:rPr>
              <w:fldChar w:fldCharType="begin"/>
            </w:r>
            <w:r>
              <w:rPr>
                <w:noProof/>
                <w:webHidden/>
              </w:rPr>
              <w:instrText xml:space="preserve"> PAGEREF _Toc210903237 \h </w:instrText>
            </w:r>
            <w:r>
              <w:rPr>
                <w:noProof/>
                <w:webHidden/>
              </w:rPr>
            </w:r>
            <w:r>
              <w:rPr>
                <w:noProof/>
                <w:webHidden/>
              </w:rPr>
              <w:fldChar w:fldCharType="separate"/>
            </w:r>
            <w:r>
              <w:rPr>
                <w:noProof/>
                <w:webHidden/>
              </w:rPr>
              <w:t>31</w:t>
            </w:r>
            <w:r>
              <w:rPr>
                <w:noProof/>
                <w:webHidden/>
              </w:rPr>
              <w:fldChar w:fldCharType="end"/>
            </w:r>
          </w:hyperlink>
        </w:p>
        <w:p w14:paraId="1AC80745" w14:textId="7DEB2527" w:rsidR="00F729BA" w:rsidRDefault="00F729BA">
          <w:pPr>
            <w:pStyle w:val="Verzeichnis3"/>
            <w:tabs>
              <w:tab w:val="right" w:leader="dot" w:pos="9091"/>
            </w:tabs>
            <w:rPr>
              <w:rFonts w:asciiTheme="minorHAnsi" w:eastAsiaTheme="minorEastAsia" w:hAnsiTheme="minorHAnsi" w:cstheme="minorBidi"/>
              <w:noProof/>
              <w:kern w:val="2"/>
              <w:szCs w:val="24"/>
              <w14:ligatures w14:val="standardContextual"/>
            </w:rPr>
          </w:pPr>
          <w:hyperlink w:anchor="_Toc210903238" w:history="1">
            <w:r w:rsidRPr="007E4CA5">
              <w:rPr>
                <w:rStyle w:val="Hyperlink"/>
                <w:rFonts w:cs="Arial"/>
                <w:noProof/>
              </w:rPr>
              <w:t>4.4.5 Bedarfsermittlung</w:t>
            </w:r>
            <w:r>
              <w:rPr>
                <w:noProof/>
                <w:webHidden/>
              </w:rPr>
              <w:tab/>
            </w:r>
            <w:r>
              <w:rPr>
                <w:noProof/>
                <w:webHidden/>
              </w:rPr>
              <w:fldChar w:fldCharType="begin"/>
            </w:r>
            <w:r>
              <w:rPr>
                <w:noProof/>
                <w:webHidden/>
              </w:rPr>
              <w:instrText xml:space="preserve"> PAGEREF _Toc210903238 \h </w:instrText>
            </w:r>
            <w:r>
              <w:rPr>
                <w:noProof/>
                <w:webHidden/>
              </w:rPr>
            </w:r>
            <w:r>
              <w:rPr>
                <w:noProof/>
                <w:webHidden/>
              </w:rPr>
              <w:fldChar w:fldCharType="separate"/>
            </w:r>
            <w:r>
              <w:rPr>
                <w:noProof/>
                <w:webHidden/>
              </w:rPr>
              <w:t>31</w:t>
            </w:r>
            <w:r>
              <w:rPr>
                <w:noProof/>
                <w:webHidden/>
              </w:rPr>
              <w:fldChar w:fldCharType="end"/>
            </w:r>
          </w:hyperlink>
        </w:p>
        <w:p w14:paraId="06CBAD39" w14:textId="520E1B26" w:rsidR="00F729BA" w:rsidRDefault="00F729BA">
          <w:pPr>
            <w:pStyle w:val="Verzeichnis3"/>
            <w:tabs>
              <w:tab w:val="right" w:leader="dot" w:pos="9091"/>
            </w:tabs>
            <w:rPr>
              <w:rFonts w:asciiTheme="minorHAnsi" w:eastAsiaTheme="minorEastAsia" w:hAnsiTheme="minorHAnsi" w:cstheme="minorBidi"/>
              <w:noProof/>
              <w:kern w:val="2"/>
              <w:szCs w:val="24"/>
              <w14:ligatures w14:val="standardContextual"/>
            </w:rPr>
          </w:pPr>
          <w:hyperlink w:anchor="_Toc210903239" w:history="1">
            <w:r w:rsidRPr="007E4CA5">
              <w:rPr>
                <w:rStyle w:val="Hyperlink"/>
                <w:rFonts w:cs="Arial"/>
                <w:noProof/>
              </w:rPr>
              <w:t>4.4.6 Einschätzungsstelle, Plausibilisierung des Bedarfs</w:t>
            </w:r>
            <w:r>
              <w:rPr>
                <w:noProof/>
                <w:webHidden/>
              </w:rPr>
              <w:tab/>
            </w:r>
            <w:r>
              <w:rPr>
                <w:noProof/>
                <w:webHidden/>
              </w:rPr>
              <w:fldChar w:fldCharType="begin"/>
            </w:r>
            <w:r>
              <w:rPr>
                <w:noProof/>
                <w:webHidden/>
              </w:rPr>
              <w:instrText xml:space="preserve"> PAGEREF _Toc210903239 \h </w:instrText>
            </w:r>
            <w:r>
              <w:rPr>
                <w:noProof/>
                <w:webHidden/>
              </w:rPr>
            </w:r>
            <w:r>
              <w:rPr>
                <w:noProof/>
                <w:webHidden/>
              </w:rPr>
              <w:fldChar w:fldCharType="separate"/>
            </w:r>
            <w:r>
              <w:rPr>
                <w:noProof/>
                <w:webHidden/>
              </w:rPr>
              <w:t>33</w:t>
            </w:r>
            <w:r>
              <w:rPr>
                <w:noProof/>
                <w:webHidden/>
              </w:rPr>
              <w:fldChar w:fldCharType="end"/>
            </w:r>
          </w:hyperlink>
        </w:p>
        <w:p w14:paraId="4EC11E4D" w14:textId="2F0A4C28" w:rsidR="00F729BA" w:rsidRDefault="00F729BA">
          <w:pPr>
            <w:pStyle w:val="Verzeichnis2"/>
            <w:tabs>
              <w:tab w:val="right" w:leader="dot" w:pos="9091"/>
            </w:tabs>
            <w:rPr>
              <w:rFonts w:asciiTheme="minorHAnsi" w:eastAsiaTheme="minorEastAsia" w:hAnsiTheme="minorHAnsi" w:cstheme="minorBidi"/>
              <w:noProof/>
              <w:kern w:val="2"/>
              <w:szCs w:val="24"/>
              <w14:ligatures w14:val="standardContextual"/>
            </w:rPr>
          </w:pPr>
          <w:hyperlink w:anchor="_Toc210903240" w:history="1">
            <w:r w:rsidRPr="007E4CA5">
              <w:rPr>
                <w:rStyle w:val="Hyperlink"/>
                <w:rFonts w:cs="Arial"/>
                <w:b/>
                <w:noProof/>
              </w:rPr>
              <w:t>4.5 Hilfsmittel</w:t>
            </w:r>
            <w:r>
              <w:rPr>
                <w:noProof/>
                <w:webHidden/>
              </w:rPr>
              <w:tab/>
            </w:r>
            <w:r>
              <w:rPr>
                <w:noProof/>
                <w:webHidden/>
              </w:rPr>
              <w:fldChar w:fldCharType="begin"/>
            </w:r>
            <w:r>
              <w:rPr>
                <w:noProof/>
                <w:webHidden/>
              </w:rPr>
              <w:instrText xml:space="preserve"> PAGEREF _Toc210903240 \h </w:instrText>
            </w:r>
            <w:r>
              <w:rPr>
                <w:noProof/>
                <w:webHidden/>
              </w:rPr>
            </w:r>
            <w:r>
              <w:rPr>
                <w:noProof/>
                <w:webHidden/>
              </w:rPr>
              <w:fldChar w:fldCharType="separate"/>
            </w:r>
            <w:r>
              <w:rPr>
                <w:noProof/>
                <w:webHidden/>
              </w:rPr>
              <w:t>33</w:t>
            </w:r>
            <w:r>
              <w:rPr>
                <w:noProof/>
                <w:webHidden/>
              </w:rPr>
              <w:fldChar w:fldCharType="end"/>
            </w:r>
          </w:hyperlink>
        </w:p>
        <w:p w14:paraId="61B44B75" w14:textId="77414B32" w:rsidR="00F729BA" w:rsidRDefault="00F729BA">
          <w:pPr>
            <w:pStyle w:val="Verzeichnis2"/>
            <w:tabs>
              <w:tab w:val="right" w:leader="dot" w:pos="9091"/>
            </w:tabs>
            <w:rPr>
              <w:rFonts w:asciiTheme="minorHAnsi" w:eastAsiaTheme="minorEastAsia" w:hAnsiTheme="minorHAnsi" w:cstheme="minorBidi"/>
              <w:noProof/>
              <w:kern w:val="2"/>
              <w:szCs w:val="24"/>
              <w14:ligatures w14:val="standardContextual"/>
            </w:rPr>
          </w:pPr>
          <w:hyperlink w:anchor="_Toc210903241" w:history="1">
            <w:r w:rsidRPr="007E4CA5">
              <w:rPr>
                <w:rStyle w:val="Hyperlink"/>
                <w:rFonts w:cs="Arial"/>
                <w:b/>
                <w:noProof/>
              </w:rPr>
              <w:t>Anhang 1</w:t>
            </w:r>
            <w:r>
              <w:rPr>
                <w:noProof/>
                <w:webHidden/>
              </w:rPr>
              <w:tab/>
            </w:r>
            <w:r>
              <w:rPr>
                <w:noProof/>
                <w:webHidden/>
              </w:rPr>
              <w:fldChar w:fldCharType="begin"/>
            </w:r>
            <w:r>
              <w:rPr>
                <w:noProof/>
                <w:webHidden/>
              </w:rPr>
              <w:instrText xml:space="preserve"> PAGEREF _Toc210903241 \h </w:instrText>
            </w:r>
            <w:r>
              <w:rPr>
                <w:noProof/>
                <w:webHidden/>
              </w:rPr>
            </w:r>
            <w:r>
              <w:rPr>
                <w:noProof/>
                <w:webHidden/>
              </w:rPr>
              <w:fldChar w:fldCharType="separate"/>
            </w:r>
            <w:r>
              <w:rPr>
                <w:noProof/>
                <w:webHidden/>
              </w:rPr>
              <w:t>36</w:t>
            </w:r>
            <w:r>
              <w:rPr>
                <w:noProof/>
                <w:webHidden/>
              </w:rPr>
              <w:fldChar w:fldCharType="end"/>
            </w:r>
          </w:hyperlink>
        </w:p>
        <w:p w14:paraId="5F936875" w14:textId="5CBFBF63" w:rsidR="006B28F7" w:rsidRDefault="00BE0D0D" w:rsidP="006B28F7">
          <w:pPr>
            <w:rPr>
              <w:b/>
              <w:bCs/>
              <w:lang w:val="de-DE"/>
            </w:rPr>
          </w:pPr>
          <w:r>
            <w:rPr>
              <w:b/>
              <w:bCs/>
              <w:lang w:val="de-DE"/>
            </w:rPr>
            <w:fldChar w:fldCharType="end"/>
          </w:r>
        </w:p>
      </w:sdtContent>
    </w:sdt>
    <w:bookmarkStart w:id="5" w:name="_Toc161510788" w:displacedByCustomXml="prev"/>
    <w:bookmarkStart w:id="6" w:name="_Ref161594074" w:displacedByCustomXml="prev"/>
    <w:bookmarkStart w:id="7" w:name="_Ref161642500" w:displacedByCustomXml="prev"/>
    <w:bookmarkStart w:id="8" w:name="_Toc210057830" w:displacedByCustomXml="prev"/>
    <w:p w14:paraId="6C90A0E0" w14:textId="16E80EFB" w:rsidR="00716684" w:rsidRPr="00716684" w:rsidRDefault="00716684" w:rsidP="006B28F7">
      <w:pPr>
        <w:pStyle w:val="berschrift1"/>
      </w:pPr>
      <w:bookmarkStart w:id="9" w:name="_Toc210903210"/>
      <w:r w:rsidRPr="00716684">
        <w:lastRenderedPageBreak/>
        <w:t>1. Das Wesentliche in Kürze</w:t>
      </w:r>
      <w:bookmarkEnd w:id="9"/>
      <w:bookmarkEnd w:id="8"/>
      <w:bookmarkEnd w:id="7"/>
      <w:bookmarkEnd w:id="6"/>
      <w:bookmarkEnd w:id="5"/>
    </w:p>
    <w:p w14:paraId="4797B411" w14:textId="463F8CDA" w:rsidR="00716684" w:rsidRPr="00716684" w:rsidRDefault="00716684" w:rsidP="00716684">
      <w:pPr>
        <w:spacing w:before="240" w:after="240" w:line="259" w:lineRule="auto"/>
        <w:jc w:val="both"/>
      </w:pPr>
      <w:r w:rsidRPr="00716684">
        <w:t>Die Inklusions-Initiative ist für viele Menschen mit Behinderungen mit grossen Hoffnungen verbunden. So erhoffen sie sich, dass sich ihre Lebenssituation verbessert. Sie soll dazu führen, dass sich die Schweiz entschlossen an die Umsetzung der tatsächlichen Gleichstellung in allen Lebensbereichen macht. Dazu hat sich die Schweiz mit der Unterzeichnung der UNO-Behindertenrechtskonvention (BRK) 2014 verpflichtet. Zudem soll sie insbesondere die freie Wahl der Wohnform und des Wohnorts ermöglichen und die nötigen Assistenz- und Unterstützungsleistungen sicherstellen. Damit der Gegenvorschlag einen unmittelbaren Mehrwert für Menschen mit Behinderungen hat, muss er Folgendes beinhalten:</w:t>
      </w:r>
    </w:p>
    <w:p w14:paraId="21E3D688" w14:textId="0791961A" w:rsidR="00716684" w:rsidRPr="00716684" w:rsidRDefault="00716684" w:rsidP="0004061D">
      <w:pPr>
        <w:numPr>
          <w:ilvl w:val="0"/>
          <w:numId w:val="6"/>
        </w:numPr>
        <w:spacing w:before="240" w:after="240" w:line="259" w:lineRule="auto"/>
        <w:jc w:val="both"/>
      </w:pPr>
      <w:r w:rsidRPr="00716684">
        <w:t xml:space="preserve">Er muss die Weichen für eine fortschrittliche Behinderten- und Inklusionspolitik der nächsten 10 bis 20 Jahre im Sinne der BRK stellen. Uns ist bewusst, dass die Umsetzung der BRK nicht allein und sofort durch den Erlass eines Inklusionsgesetzes sowie einer Revision des Invalidenversicherungsgesetzes gewährleistet werden kann. Die Umsetzung kann deshalb </w:t>
      </w:r>
      <w:bookmarkStart w:id="10" w:name="_Int_vI8XUip1"/>
      <w:proofErr w:type="gramStart"/>
      <w:r w:rsidRPr="00716684">
        <w:t>durchaus auch</w:t>
      </w:r>
      <w:bookmarkEnd w:id="10"/>
      <w:proofErr w:type="gramEnd"/>
      <w:r w:rsidRPr="00716684">
        <w:t xml:space="preserve"> schrittweise erfolgen. Ein konkreter und abgestimmter Plan dazu ist dafür jedoch unerlässlich. Im Inklusionsgesetz müssen Rechtsansprüche von Menschen mit Behinderungen auf die erforderlichen Unterstützungsmassnahmen verankert werden. Es müssen eine gemeinsame Strategie von Bund und Kantonen sowie Aktionspläne zur Umsetzung der BRK verankert werden. Dabei ist sicherzustellen, dass Menschen mit Behinderungen und ihre Verbände angemessen einbezogen werden. Zudem müssen die Fortschritte der Schweiz bei der Umsetzung der BRK mithilfe eines Monitorings überprüft werden. All dies ist mit dem vorliegenden Vorentwurf nicht gewährleistet. Zudem erfasst das Inklusionsgesetz mit einem sehr engen Behinderungsbegriff nur Personen, die eine Leistung der Invalidenversicherung beziehen. Das sind jedoch nur rund ein Viertel der Menschen mit Behinderungen in der Schweiz. Darüber hinaus beschränkt es sich thematisch fast ausschliesslich auf das Wohnen. Von einem Rahmengesetz kann deshalb keine Rede sein.</w:t>
      </w:r>
    </w:p>
    <w:p w14:paraId="3CA9D787" w14:textId="77381E7C" w:rsidR="00716684" w:rsidRPr="00716684" w:rsidRDefault="00716684" w:rsidP="00716684">
      <w:pPr>
        <w:numPr>
          <w:ilvl w:val="0"/>
          <w:numId w:val="6"/>
        </w:numPr>
        <w:spacing w:before="240" w:after="240" w:line="259" w:lineRule="auto"/>
        <w:jc w:val="both"/>
      </w:pPr>
      <w:r w:rsidRPr="00716684">
        <w:t xml:space="preserve">Er muss den Rechtsanspruch auf die freie Wahl der Wohnform und des Wohnorts für Menschen mit Behinderungen sicherstellen. Er muss den Kantonen den klaren Auftrag erteilen, Menschen mit Behinderungen dieselbe Wahlfreiheit wie allen Bürgerinnen und Bürgern zu garantieren und die erforderlichen Unterstützungsleistungen sicherzustellen. Es braucht Vorgaben und Übergangsbestimmungen, die aufzeigen, wie eine konsequente Förderung des selbstbestimmten Wohnens aussehen muss. Zudem sind Bestimmungen erforderlich, die den notwendigen Ressourcentransfer weg von den Institutionen und hin zu ambulanten Unterstützungsleistungen für die betroffenen Menschen sicherstellen. All dies wird im vorliegenden Gegenvorschlag nicht umgesetzt. Nach wie vor liegt das Gewicht beim Wohnen in Institutionen. Institutionen sind jedoch kein Ort, an dem Inklusion gefördert wird. Der Bund geht auch nicht mit gutem Beispiel voran, sei es durch Anreize für die Kantone oder durch den Ausbau seiner eigenen Assistenz- und Unterstützungsleistungen (siehe unten zum </w:t>
      </w:r>
      <w:r w:rsidRPr="00716684">
        <w:lastRenderedPageBreak/>
        <w:t xml:space="preserve">Assistenzbeitrag), sondern beschränkt sich auf unverbindliche Ziele, Grundsätze und Kriterien. </w:t>
      </w:r>
    </w:p>
    <w:p w14:paraId="5ABE31C1" w14:textId="77777777" w:rsidR="00716684" w:rsidRPr="00716684" w:rsidRDefault="00716684" w:rsidP="00716684">
      <w:pPr>
        <w:numPr>
          <w:ilvl w:val="0"/>
          <w:numId w:val="6"/>
        </w:numPr>
        <w:spacing w:before="240" w:after="240" w:line="259" w:lineRule="auto"/>
        <w:jc w:val="both"/>
      </w:pPr>
      <w:r w:rsidRPr="00716684">
        <w:t xml:space="preserve">Der zweite Teil des Gegenvorschlags enthält Vorschläge für Massnahmen der Invalidenversicherung. Für ein selbstbestimmtes Leben ist ein besserer Zugang zum Assistenzbeitrag sowie zu modernen Hilfsmitteln und Dienstleistungen Dritter (z.B. </w:t>
      </w:r>
      <w:proofErr w:type="spellStart"/>
      <w:r w:rsidRPr="00716684">
        <w:t>Gebärdensprachdolmetschung</w:t>
      </w:r>
      <w:proofErr w:type="spellEnd"/>
      <w:r w:rsidRPr="00716684">
        <w:t xml:space="preserve">) entscheidend. Heute nutzen jedoch nur rund 5’000 Personen den Assistenzbeitrag, da die aktuelle Ausgestaltung sehr viele Menschen mit Behinderungen ausschliesst. Massnahmen für einen verbesserten Zugang zu diesen Leistungen bleiben im Gegenvorschlag weitgehend aus oder sind sehr zaghaft. Damit verpasst der Bundesrat die Chance, mit einer Offensive bei den IV-Unterstützungsleistungen für mehr Inklusion in den Bereichen Wohnen, Arbeit und gesellschaftliche Teilhabe zu sorgen und den Kantonen ein positives Beispiel zu geben. Positiv zu würdigen ist jedoch, dass der Gegenvorschlag Pilotversuche zur Stärkung des selbstbestimmten Lebens ermöglicht. </w:t>
      </w:r>
    </w:p>
    <w:p w14:paraId="4D879F8A" w14:textId="77777777" w:rsidR="00716684" w:rsidRPr="00716684" w:rsidRDefault="00716684" w:rsidP="00716684">
      <w:pPr>
        <w:spacing w:before="240" w:after="240" w:line="259" w:lineRule="auto"/>
        <w:jc w:val="both"/>
      </w:pPr>
      <w:r w:rsidRPr="00716684">
        <w:t>Angesichts der Anliegen der Inklusions-Initiative und des sehr begrenzten direkten Nutzens für die betroffenen Menschen mit Behinderungen ist der in die Vernehmlassung geschickte Vorentwurf des Gegenvorschlags enttäuschend und keineswegs eine angemessene Antwort auf die Inklusions-Initiative.</w:t>
      </w:r>
    </w:p>
    <w:p w14:paraId="67005695" w14:textId="77777777" w:rsidR="00716684" w:rsidRPr="00755D53" w:rsidRDefault="00716684" w:rsidP="00755D53">
      <w:pPr>
        <w:pStyle w:val="berschrift2"/>
        <w:spacing w:before="480"/>
        <w:rPr>
          <w:rFonts w:ascii="Arial" w:hAnsi="Arial" w:cs="Arial"/>
          <w:b/>
          <w:color w:val="auto"/>
          <w:sz w:val="24"/>
          <w:szCs w:val="24"/>
        </w:rPr>
      </w:pPr>
      <w:bookmarkStart w:id="11" w:name="_Toc210057831"/>
      <w:bookmarkStart w:id="12" w:name="_Toc210903211"/>
      <w:r w:rsidRPr="00755D53">
        <w:rPr>
          <w:rFonts w:ascii="Arial" w:hAnsi="Arial" w:cs="Arial"/>
          <w:b/>
          <w:color w:val="auto"/>
          <w:sz w:val="24"/>
          <w:szCs w:val="24"/>
        </w:rPr>
        <w:t>1.1 Grundsätzliche Kritik am Inklusionsgesetz</w:t>
      </w:r>
      <w:bookmarkEnd w:id="11"/>
      <w:bookmarkEnd w:id="12"/>
    </w:p>
    <w:p w14:paraId="13069016" w14:textId="5DC3AAEF" w:rsidR="00716684" w:rsidRPr="00716684" w:rsidRDefault="00716684" w:rsidP="00716684">
      <w:pPr>
        <w:spacing w:before="240" w:after="240" w:line="259" w:lineRule="auto"/>
        <w:jc w:val="both"/>
      </w:pPr>
      <w:r w:rsidRPr="00716684">
        <w:t>Der UNO-Ausschuss für die Rechte von Menschen mit Behinderungen (nachfolgend BRK-Ausschuss) hat die Schweiz im Jahr 2022 deutlich für ihre unzureichende Umsetzung der BRK kritisiert.</w:t>
      </w:r>
      <w:r w:rsidRPr="00716684">
        <w:rPr>
          <w:vertAlign w:val="superscript"/>
        </w:rPr>
        <w:footnoteReference w:id="1"/>
      </w:r>
      <w:r w:rsidRPr="00716684">
        <w:t xml:space="preserve"> Es ist zwar nachvollziehbar, dass die rechtliche und tatsächliche Gleichstellung von Menschen mit Behinderungen nicht durch ein einziges Gesetz für alle Lebensbereiche sichergestellt werden kann. Ein Inklusionsgesetz, das seinen Namen verdient, muss jedoch zumindest die Weichen für eine fortschrittlichere Inklusionspolitik für die nächsten 10 bis 20 Jahre stellen. Die</w:t>
      </w:r>
      <w:r w:rsidR="00325F6F">
        <w:t>s</w:t>
      </w:r>
      <w:r w:rsidRPr="00716684">
        <w:t xml:space="preserve"> gelingt dem Vorentwurf jedoch nicht.</w:t>
      </w:r>
    </w:p>
    <w:p w14:paraId="7DD25C6D" w14:textId="77777777" w:rsidR="00716684" w:rsidRPr="00716684" w:rsidRDefault="00716684" w:rsidP="00716684">
      <w:pPr>
        <w:numPr>
          <w:ilvl w:val="0"/>
          <w:numId w:val="6"/>
        </w:numPr>
        <w:spacing w:before="240" w:after="240" w:line="259" w:lineRule="auto"/>
        <w:jc w:val="both"/>
      </w:pPr>
      <w:r w:rsidRPr="00716684">
        <w:t>Der Vorentwurf des Bundesgesetzes über die Inklusion von Menschen mit Behinderungen erfasst mit einem sehr engen Behinderungsbegriff nur diejenigen Personen, welche eine Leistung der Invalidenversicherung beanspruchen. Das sind rund 450’000 Personen. In der Schweiz leben jedoch mehr als 1,9 Millionen Menschen mit Behinderungen im Sinne des Behindertengleichstellungsgesetzes (nachfolgend BehiG).</w:t>
      </w:r>
      <w:bookmarkStart w:id="13" w:name="_Ref202498037"/>
      <w:r w:rsidRPr="00716684">
        <w:rPr>
          <w:vertAlign w:val="superscript"/>
        </w:rPr>
        <w:footnoteReference w:id="2"/>
      </w:r>
      <w:bookmarkEnd w:id="13"/>
      <w:r w:rsidRPr="00716684">
        <w:t xml:space="preserve"> Somit erfasst das neue Inklusionsgesetz von Vornherein nur rund einen Viertel der von einer Behinderung betroffenen Personen. Nicht erfasst ist die Person, welche im AHV-Alter einen Hirnschlag erleidet oder einen Unfall hatte und auf Hilfsmittel angewiesen ist. Nicht erfasst sind etwa auch Personen mit Dyslexie oder ADHS, das erst im Erwachsenenalter </w:t>
      </w:r>
      <w:r w:rsidRPr="00716684">
        <w:lastRenderedPageBreak/>
        <w:t>diagnostiziert wurde. Das ist für ein Gesetz, welches die Umsetzung der BRK voranbringen sollte, nicht akzeptabel. Es fehlen Rechtsansprüche von Menschen mit Behinderungen sowie klare Verpflichtungen von Bund und Kantonen, die nötigen Anpassungs- und Unterstützungsmaßnahmen zu ergreifen.</w:t>
      </w:r>
    </w:p>
    <w:p w14:paraId="0A30C9E5" w14:textId="77777777" w:rsidR="00716684" w:rsidRPr="00716684" w:rsidRDefault="00716684" w:rsidP="009A689F">
      <w:pPr>
        <w:numPr>
          <w:ilvl w:val="0"/>
          <w:numId w:val="6"/>
        </w:numPr>
        <w:spacing w:before="120" w:after="120" w:line="259" w:lineRule="auto"/>
        <w:ind w:left="714" w:hanging="357"/>
        <w:jc w:val="both"/>
      </w:pPr>
      <w:r w:rsidRPr="00716684">
        <w:t>Es fehlt die klare Verpflichtung, dass Bund und Kantone eine gemeinsame Strategie und einen Aktionsplan zur Umsetzung der BRK vorlegen müssen.</w:t>
      </w:r>
    </w:p>
    <w:p w14:paraId="0CBE1941" w14:textId="77777777" w:rsidR="00716684" w:rsidRPr="00716684" w:rsidRDefault="00716684" w:rsidP="009A689F">
      <w:pPr>
        <w:numPr>
          <w:ilvl w:val="0"/>
          <w:numId w:val="6"/>
        </w:numPr>
        <w:spacing w:before="120" w:after="120" w:line="259" w:lineRule="auto"/>
        <w:ind w:left="714" w:hanging="357"/>
        <w:jc w:val="both"/>
      </w:pPr>
      <w:r w:rsidRPr="00716684">
        <w:t>Es wird im Vorentwurf nicht genügend dafür gesorgt, dass Menschen mit Behinderungen und ihre Verbände gebührend miteinbezogen werden.</w:t>
      </w:r>
    </w:p>
    <w:p w14:paraId="73DB9BE4" w14:textId="77777777" w:rsidR="00716684" w:rsidRPr="00716684" w:rsidRDefault="00716684" w:rsidP="009A689F">
      <w:pPr>
        <w:numPr>
          <w:ilvl w:val="0"/>
          <w:numId w:val="6"/>
        </w:numPr>
        <w:spacing w:before="120" w:after="120" w:line="259" w:lineRule="auto"/>
        <w:ind w:left="714" w:hanging="357"/>
        <w:jc w:val="both"/>
      </w:pPr>
      <w:r w:rsidRPr="00716684">
        <w:t xml:space="preserve">Es fehlen Bestimmungen, die dafür sorgen, dass die Fortschritte der Schweiz bei der Umsetzung der BRK laufend überprüft werden (Monitoring). </w:t>
      </w:r>
    </w:p>
    <w:p w14:paraId="4AF86C65" w14:textId="77777777" w:rsidR="00716684" w:rsidRPr="00716684" w:rsidRDefault="00716684" w:rsidP="009A689F">
      <w:pPr>
        <w:numPr>
          <w:ilvl w:val="0"/>
          <w:numId w:val="6"/>
        </w:numPr>
        <w:spacing w:before="120" w:after="120" w:line="259" w:lineRule="auto"/>
        <w:ind w:left="714" w:hanging="357"/>
        <w:jc w:val="both"/>
      </w:pPr>
      <w:r w:rsidRPr="00716684">
        <w:t>Die vorgeschlagenen Gesetzesbestimmungen zeigen, dass kein Gesamtkonzept vorhanden ist. Sie sind zu wenig präzis und erfassen lediglich den Wohnbereich.</w:t>
      </w:r>
    </w:p>
    <w:p w14:paraId="37632E31" w14:textId="77777777" w:rsidR="00716684" w:rsidRPr="00716684" w:rsidRDefault="00716684" w:rsidP="00716684">
      <w:pPr>
        <w:spacing w:before="240" w:after="240" w:line="259" w:lineRule="auto"/>
        <w:jc w:val="both"/>
      </w:pPr>
      <w:r w:rsidRPr="00716684">
        <w:t>Der Vorentwurf des Inklusionsgesetzes bleibt damit ambitionslos und ohne Gesamtkonzept. Die Verpflichtungen von Bund und Kantonen sowie die Rechtsansprüche der Menschen mit Behinderungen müssen klargestellt und organisatorischen Vorkehren für die Umsetzung der tatsächlichen Gleichstellung getroffen werden. Das Gesetz muss zumindest grundsätzlich alle 1,9 Millionen Menschen, die in der Schweiz mit einer Behinderung leben, erfassen. Allfällige Einschränkungen können in den Bestimmungen zu einzelnen Lebensbereichen (z. B. Wohnen) getroffen werden. All dies muss nachgebessert werden, damit das Inklusionsgesetz tatsächlich die Weichen für die Inklusionspolitik stellt und einen verbindlichen Rahmen vorgibt.</w:t>
      </w:r>
    </w:p>
    <w:p w14:paraId="72EFDCEC" w14:textId="77777777" w:rsidR="00716684" w:rsidRPr="00755D53" w:rsidRDefault="00716684" w:rsidP="00755D53">
      <w:pPr>
        <w:pStyle w:val="berschrift2"/>
        <w:spacing w:before="480"/>
        <w:rPr>
          <w:rFonts w:ascii="Arial" w:hAnsi="Arial" w:cs="Arial"/>
          <w:b/>
          <w:color w:val="auto"/>
          <w:sz w:val="24"/>
          <w:szCs w:val="24"/>
        </w:rPr>
      </w:pPr>
      <w:bookmarkStart w:id="14" w:name="_Toc210057832"/>
      <w:bookmarkStart w:id="15" w:name="_Toc210903212"/>
      <w:r w:rsidRPr="00755D53">
        <w:rPr>
          <w:rFonts w:ascii="Arial" w:hAnsi="Arial" w:cs="Arial"/>
          <w:b/>
          <w:color w:val="auto"/>
          <w:sz w:val="24"/>
          <w:szCs w:val="24"/>
        </w:rPr>
        <w:t>1.2 Verpasster Systemwechsel beim Wohnen</w:t>
      </w:r>
      <w:bookmarkEnd w:id="14"/>
      <w:bookmarkEnd w:id="15"/>
    </w:p>
    <w:p w14:paraId="76FB42BE" w14:textId="0D25F793" w:rsidR="00716684" w:rsidRPr="00716684" w:rsidRDefault="00716684" w:rsidP="00716684">
      <w:pPr>
        <w:spacing w:before="240" w:after="240" w:line="259" w:lineRule="auto"/>
        <w:jc w:val="both"/>
      </w:pPr>
      <w:r w:rsidRPr="00716684">
        <w:t xml:space="preserve">Die Thematik des Wohnens wurde als Schwerpunkt des Inklusionsgesetzes angekündigt. Zu Recht, denn selbstbestimmtes Wohnen ist ein entscheidender Faktor für die Inklusion und es besteht grosser Handlungsbedarf. Mit dem Inklusionsgesetz soll das bestehende Rahmengesetz (Bundesgesetz über die Institutionen zur Förderung der Eingliederung von invaliden Personen; IFEG) zum Wohnen in Institutionen ersetzt werden. Doch auch hier überzeugt der Vorentwurf nicht. Es legt nach wie vor zu viel Gewicht auf das Wohnen in Institutionen. Eine koordinierte Strategie von Bund und Kantonen für den Übergang fehlt. Im Vorentwurf fehlt ebenfalls der klare Auftrag an die Kantone, die freie Wahl der Wohnform und des Wohnorts zu gewährleisten. Menschen mit Behinderungen haben somit keinen Rechtsanspruch auf die freie Wahl der Wohnform und des Wohnorts. Der Bund geht auch nicht mit gutem Beispiel voran, sondern definiert lediglich Ziele, Grundsätze und Kriterien. Verbindliche Massnahmen fehlen. So fehlen auch Übergangsbestimmungen und Vorgaben des Bundes, wie eine stärkere Förderung des selbstbestimmten Wohnens und eine Reduktion von Institutionen bewerkstelligt werden sollen. Insbesondere fehlen Bestimmungen zum notwendigen Ressourcentransfer von den Institutionen hin zu den betroffenen Menschen. Dies ist umso erstaunlicher, als das Parlament dem Bundesrat mit der Motion 24.3003 “Modernisierung des IFEG” erst kürzlich den Auftrag gegeben hat, das selbstbestimmte Wohnen sicherzustellen. Auch die Eidgenössische Finanzkontrolle stellt fest, dass der </w:t>
      </w:r>
      <w:r w:rsidRPr="00716684">
        <w:lastRenderedPageBreak/>
        <w:t>Zugang zu den Leistungen nicht für alle Zielgruppen sichergestellt ist und es unklare Rahmenbedingungen gibt.</w:t>
      </w:r>
      <w:r w:rsidRPr="00716684">
        <w:rPr>
          <w:vertAlign w:val="superscript"/>
        </w:rPr>
        <w:footnoteReference w:id="3"/>
      </w:r>
    </w:p>
    <w:p w14:paraId="203C5A5A" w14:textId="77777777" w:rsidR="00716684" w:rsidRPr="00716684" w:rsidRDefault="00716684" w:rsidP="00716684">
      <w:pPr>
        <w:spacing w:before="240" w:after="240" w:line="259" w:lineRule="auto"/>
        <w:jc w:val="both"/>
      </w:pPr>
      <w:r w:rsidRPr="00716684">
        <w:t>Der Handlungsbedarf ist gross. Die vorgeschlagenen Formulierungen im Inklusionsgesetz sind jedoch zahnlos. Ein Übergang zum selbstbestimmten Wohnen kann nur gelingen, wenn finanzielle Mittel umgelagert werden - weg von den Institutionen, hin zum Ausbau ambulanter Unterstützungsleistungen. Zudem ist ein Ausbau des Assistenzbeitrags der IV notwendig. Diese Leistungen müssen besser koordiniert und aufeinander abgestimmt werden. Mit dem Inklusionsgesetz muss eine gemeinsame Strategie von Bund und Kantonen verankert werden. Damit das selbstbestimmte Wohnen verwirklicht werden kann, ist auf allen Ebenen mehr Klarheit und Verbindlichkeit erforderlich.</w:t>
      </w:r>
    </w:p>
    <w:p w14:paraId="4662F4C1" w14:textId="77777777" w:rsidR="00716684" w:rsidRPr="00755D53" w:rsidRDefault="00716684" w:rsidP="00755D53">
      <w:pPr>
        <w:pStyle w:val="berschrift2"/>
        <w:spacing w:before="480"/>
        <w:rPr>
          <w:rFonts w:ascii="Arial" w:hAnsi="Arial" w:cs="Arial"/>
          <w:b/>
          <w:color w:val="auto"/>
          <w:sz w:val="24"/>
          <w:szCs w:val="24"/>
        </w:rPr>
      </w:pPr>
      <w:bookmarkStart w:id="16" w:name="_Toc210057833"/>
      <w:bookmarkStart w:id="17" w:name="_Toc210903213"/>
      <w:r w:rsidRPr="00755D53">
        <w:rPr>
          <w:rFonts w:ascii="Arial" w:hAnsi="Arial" w:cs="Arial"/>
          <w:b/>
          <w:color w:val="auto"/>
          <w:sz w:val="24"/>
          <w:szCs w:val="24"/>
        </w:rPr>
        <w:t>1.3 Zu den Anpassungen im Invalidenversicherungsgesetz</w:t>
      </w:r>
      <w:bookmarkEnd w:id="16"/>
      <w:bookmarkEnd w:id="17"/>
    </w:p>
    <w:p w14:paraId="0B4F0FDB" w14:textId="379416B4" w:rsidR="00716684" w:rsidRPr="00716684" w:rsidRDefault="00716684" w:rsidP="00716684">
      <w:pPr>
        <w:spacing w:before="240" w:after="240" w:line="259" w:lineRule="auto"/>
        <w:jc w:val="both"/>
      </w:pPr>
      <w:r w:rsidRPr="00716684">
        <w:t xml:space="preserve">Im zweiten Teil des Gegenvorschlags werden im Rahmen des Invalidenversicherungsgesetzes (IVG) nur sehr wenige Änderungen vorgeschlagen. Ein verbesserter Zugang zum Assistenzbeitrag, Hilfsmitteln und persönlichen Dienstleistungen sowie gar ein Ausbau der entsprechenden Leistungen in den Bereichen Wohnen, Arbeit und gesellschaftliche Teilhabe bleiben weitgehend aus </w:t>
      </w:r>
      <w:r w:rsidR="00BE5B1C" w:rsidRPr="00296BF1">
        <w:rPr>
          <w:vertAlign w:val="superscript"/>
        </w:rPr>
        <w:footnoteReference w:id="4"/>
      </w:r>
      <w:r w:rsidR="00656016">
        <w:t>.</w:t>
      </w:r>
      <w:r w:rsidR="00BE5B1C">
        <w:t xml:space="preserve"> </w:t>
      </w:r>
      <w:r w:rsidRPr="00716684">
        <w:t xml:space="preserve"> Dies ist jedoch Voraussetzung für ein selbstbestimmtes Leben von Menschen mit Behinderungen und ein Kernanliegen der Inklusions-Initiative.</w:t>
      </w:r>
      <w:r w:rsidR="00D24989">
        <w:t xml:space="preserve"> </w:t>
      </w:r>
      <w:r w:rsidRPr="00716684">
        <w:t>Die IVG-Änderungen beinhalten lediglich den Zugang von Personen mit eingeschränkter Handlungsfähigkeit zum Assistenzbeitrag sowie die Ermöglichung von Pilotversuchen im Hinblick auf eine Vereinfachung der IV-Unterstützungsleistungen. Zudem werden einzelne Verordnungsänderungen angekündigt. Die vorgeschlagenen bzw. in Aussicht gestellten Änderungen des IVG und des IVV beinhalten aber grösstenteils lediglich die Umsetzung von ohnehin bereits an den Bundesrat überwiesenen parlamentarischen Vorstössen. Sie stellen keine Antwort auf die Inklusions-Initiative dar.</w:t>
      </w:r>
    </w:p>
    <w:p w14:paraId="54C36576" w14:textId="483DA13C" w:rsidR="00716684" w:rsidRPr="00716684" w:rsidRDefault="00716684" w:rsidP="00716684">
      <w:pPr>
        <w:spacing w:before="240" w:after="240" w:line="259" w:lineRule="auto"/>
        <w:jc w:val="both"/>
      </w:pPr>
      <w:r w:rsidRPr="00716684">
        <w:t>Zudem sind die vorgeschlagenen Änderungen zur Einflussnahme auf die Preisgestaltung bei Hilfsmitteln kritisch zu beurteilen und es besteht vielmehr die Gefahr, dass sie für die Betroffenen sogar zu Rückschritten führen.</w:t>
      </w:r>
    </w:p>
    <w:p w14:paraId="67185368" w14:textId="449A277E" w:rsidR="00716684" w:rsidRPr="00716684" w:rsidRDefault="00716684" w:rsidP="00716684">
      <w:pPr>
        <w:spacing w:before="240" w:after="240" w:line="259" w:lineRule="auto"/>
        <w:jc w:val="both"/>
      </w:pPr>
      <w:r w:rsidRPr="00716684">
        <w:t xml:space="preserve">Im Rahmen der IV-Gesetzgebung braucht es auf verschiedenen Ebenen deutliche Verbesserungen. Zentral ist ein verbesserter Zugang der verschiedenen Behinderungsarten zum Assistenzbeitrag, zur Hilflosenentschädigung sowie zu Hilfsmitteln. Dies gilt insbesondere für Menschen mit einer psychischen, kognitiven oder Sinnesbehinderung. Und es braucht einen verbesserten Zugang insbesondere auch für Menschen mit Behinderungen, die erst im AHV-Alter auf Hilfsmittel wie z.B. Hörgeräte oder Rollstühle angewiesen sind. Bei den Dienstleistungen Dritter braucht es zudem eine Ausweitung </w:t>
      </w:r>
      <w:r w:rsidRPr="00716684">
        <w:lastRenderedPageBreak/>
        <w:t xml:space="preserve">auf die Pflege gesellschaftlicher Kontakte sowie eine Erhöhung des Höchstbetrags für die Ausübung des Berufs (v.a. Gebärdensprach- und </w:t>
      </w:r>
      <w:proofErr w:type="spellStart"/>
      <w:r w:rsidRPr="00716684">
        <w:t>Schriftdolmetschleistungen</w:t>
      </w:r>
      <w:proofErr w:type="spellEnd"/>
      <w:r w:rsidRPr="00716684">
        <w:t>). Nachfolgend die Beurteilung zu den einzelnen IVG-Leistungen:</w:t>
      </w:r>
    </w:p>
    <w:p w14:paraId="2B449A12" w14:textId="77777777" w:rsidR="00716684" w:rsidRPr="00716684" w:rsidRDefault="00716684" w:rsidP="00755D53">
      <w:pPr>
        <w:spacing w:line="259" w:lineRule="auto"/>
        <w:jc w:val="both"/>
        <w:rPr>
          <w:b/>
          <w:i/>
          <w:iCs/>
        </w:rPr>
      </w:pPr>
      <w:r w:rsidRPr="00716684">
        <w:rPr>
          <w:b/>
          <w:i/>
          <w:iCs/>
        </w:rPr>
        <w:t>Hilfsmittel</w:t>
      </w:r>
    </w:p>
    <w:p w14:paraId="45D4A8A2" w14:textId="60E76726" w:rsidR="00716684" w:rsidRPr="00716684" w:rsidRDefault="00716684" w:rsidP="00D24989">
      <w:pPr>
        <w:spacing w:line="259" w:lineRule="auto"/>
        <w:jc w:val="both"/>
      </w:pPr>
      <w:r w:rsidRPr="00716684">
        <w:t xml:space="preserve">Wir begrüssen das Ziel, aktiver auf die Preisgestaltung der Hilfsmittel Einfluss zu nehmen, um dazu beizutragen, die Situation für Menschen mit Behinderungen im Bereich der Hilfsmittel zu verbessern. Allerdings bleibt unklar, ob Betroffene tatsächlich einen besseren Zugang zu Hilfsmitteln erhalten, die dem aktuellen Stand der Technik entsprechen, denn der Fokus bei Art. 21quater Abs. 2, Art. 21quinquies und Art. 21sexies IVG liegt allein auf der Kostenkontrolle statt auf einem einzelfallgerechten, raschen Zugang zu Hilfsmitteln oder Dienstleistungen - wie dies in der Inklusions-Initiative gefordert wird. Es besteht vielmehr die Gefahr, dass die vorgeschlagenen Änderungen sogar zu Rückschritten führen; </w:t>
      </w:r>
      <w:proofErr w:type="gramStart"/>
      <w:r w:rsidRPr="00716684">
        <w:t>etwa</w:t>
      </w:r>
      <w:proofErr w:type="gramEnd"/>
      <w:r w:rsidRPr="00716684">
        <w:t xml:space="preserve"> wenn der Zugang zu Hilfsmitteln durch neue bürokratische Hürden oder längere Verfahren erschwert wird oder durch die Vergabeverfahren eine Monopolbildung nicht verhindert werden kann. Zudem schränkt die vorgeschlagene Änderung von Art. 21bis Abs. 3 IVG die Austauschbefugnis auf Hilfsmittel ein, die von Anbietern stammen, mit denen im Rahmen des Vergabeverfahrens ein Vertrag abgeschlossen wurde. Diese Änderung kann somit weitreichende negative Folgen für Menschen mit Behinderungen haben. </w:t>
      </w:r>
    </w:p>
    <w:p w14:paraId="552AD476" w14:textId="78783B83" w:rsidR="00716684" w:rsidRPr="00716684" w:rsidRDefault="00716684" w:rsidP="00716684">
      <w:pPr>
        <w:spacing w:before="240" w:after="240" w:line="259" w:lineRule="auto"/>
        <w:jc w:val="both"/>
      </w:pPr>
      <w:r w:rsidRPr="00716684">
        <w:t xml:space="preserve">Positiv erachten wir die im Rahmen der nächsten Revision der IVV in Aussicht gestellte Möglichkeit für Arbeitgebende, für Versicherte ein </w:t>
      </w:r>
      <w:proofErr w:type="gramStart"/>
      <w:r w:rsidRPr="00716684">
        <w:t>Gesuch</w:t>
      </w:r>
      <w:proofErr w:type="gramEnd"/>
      <w:r w:rsidRPr="00716684">
        <w:t xml:space="preserve"> um Hilfsmittel am Arbeitsplatz einzureichen (in Umsetzung der Motion Lohr: 21.4089).</w:t>
      </w:r>
    </w:p>
    <w:p w14:paraId="6725A342" w14:textId="77777777" w:rsidR="00716684" w:rsidRPr="00716684" w:rsidRDefault="00716684" w:rsidP="00716684">
      <w:pPr>
        <w:spacing w:before="240" w:after="240" w:line="259" w:lineRule="auto"/>
        <w:jc w:val="both"/>
      </w:pPr>
      <w:r w:rsidRPr="00716684">
        <w:t xml:space="preserve">Was im Vorentwurf aber gänzlich fehlt, ist ein verbesserter Zugang zu Hörgeräten und allgemein zu Hilfsmitteln für Menschen mit Behinderungen, die erst im AHV-Alter auf Hilfsmittel angewiesen sind. Auch fehlt eine Ausweitung der Dienstleistungen Dritter (anstelle eines Hilfsmittels) auf die Pflege gesellschaftlicher Kontakte sowie eine Erhöhung des Höchstbetrags für die Ausübung des Berufs. Um den Anliegen der Inklusions-Initiative gerecht zu werden, braucht es daher zusätzliche Verbesserungen im Hilfsmittelbereich (inkl. Dienstleistungen Dritter), die auf verschiedenen Regelungsstufen umgesetzt werden können. </w:t>
      </w:r>
    </w:p>
    <w:p w14:paraId="29F50680" w14:textId="77777777" w:rsidR="00716684" w:rsidRPr="00716684" w:rsidRDefault="00716684" w:rsidP="006B28F7">
      <w:pPr>
        <w:spacing w:before="480" w:line="259" w:lineRule="auto"/>
        <w:jc w:val="both"/>
        <w:rPr>
          <w:b/>
          <w:bCs/>
          <w:i/>
          <w:iCs/>
        </w:rPr>
      </w:pPr>
      <w:r w:rsidRPr="00716684">
        <w:rPr>
          <w:b/>
          <w:i/>
          <w:iCs/>
        </w:rPr>
        <w:t>Assistenzbeitrag und Hilflosenentschädigung</w:t>
      </w:r>
    </w:p>
    <w:p w14:paraId="38072914" w14:textId="663A6DA5" w:rsidR="00716684" w:rsidRPr="00716684" w:rsidRDefault="00716684" w:rsidP="00716684">
      <w:pPr>
        <w:spacing w:before="240" w:after="240" w:line="259" w:lineRule="auto"/>
        <w:jc w:val="both"/>
      </w:pPr>
      <w:r w:rsidRPr="00716684">
        <w:t>Wir begrüssen die vorgeschlagene Aufhebung von Art. 42</w:t>
      </w:r>
      <w:r w:rsidRPr="00716684">
        <w:rPr>
          <w:vertAlign w:val="superscript"/>
        </w:rPr>
        <w:t>quater</w:t>
      </w:r>
      <w:r w:rsidRPr="00716684">
        <w:t xml:space="preserve"> Abs. 2 IVG. Damit haben Versicherte mit eingeschränkter Handlungsfähigkeit neu grundsätzlich Zugang zum Assistenzbeitrag und müssen keine strengen Zusatzvoraussetzungen erfüllen.</w:t>
      </w:r>
    </w:p>
    <w:p w14:paraId="05BFB02C" w14:textId="77777777" w:rsidR="00716684" w:rsidRPr="00716684" w:rsidRDefault="00716684" w:rsidP="00716684">
      <w:pPr>
        <w:spacing w:before="240" w:after="240" w:line="259" w:lineRule="auto"/>
        <w:jc w:val="both"/>
      </w:pPr>
      <w:r w:rsidRPr="00716684">
        <w:t xml:space="preserve">Was im Vorentwurf aber gänzlich fehlt, ist ein verbesserter Zugang zum Assistenzbeitrag für Minderjährige, für Menschen mit Sinnesbehinderungen und mit kognitiven Beeinträchtigungen (für sie ist das aktuell anwendbare Abklärungsinstrument FAKT ungeeignet siehe Punkt 4.4), für Menschen im AHV-Alter sowie für Personen mit einer Hilflosenentschädigung der Unfall- oder Militärversicherung. Auch fehlt im Vorentwurf eine Ausweitung des Kreises der Assistenzpersonen, eine Erhöhung des Assistenzbeitrages und der Höchstbeträge sowie ein Ausbau der Beratungsleistungen. Ebenso </w:t>
      </w:r>
      <w:r w:rsidRPr="00716684">
        <w:lastRenderedPageBreak/>
        <w:t>fehlt die Ausweitung des Anspruchs auf eine Hilflosenentschädigung und somit ein Zugang zum Assistenzbeitrag für schwerhörige und gehörlose Erwachsene sowie für Personen mit einer psychischen Beeinträchtigung. Um den Anliegen der Inklusions-Initiative gerecht zu werden, braucht es daher zusätzliche Verbesserungen im Bereich des Assistenzbeitrages und bei der Hilflosenentschädigung (als Grundvoraussetzung des Anspruchs auf einen Assistenzbeitrag), die ebenfalls auf verschiedenen Regelungsstufen umgesetzt werden können.</w:t>
      </w:r>
    </w:p>
    <w:p w14:paraId="25D63B89" w14:textId="77777777" w:rsidR="00716684" w:rsidRPr="00716684" w:rsidRDefault="00716684" w:rsidP="00755D53">
      <w:pPr>
        <w:spacing w:line="259" w:lineRule="auto"/>
        <w:jc w:val="both"/>
        <w:rPr>
          <w:b/>
          <w:bCs/>
          <w:i/>
          <w:iCs/>
        </w:rPr>
      </w:pPr>
      <w:r w:rsidRPr="00716684">
        <w:rPr>
          <w:b/>
          <w:i/>
          <w:iCs/>
        </w:rPr>
        <w:t>Pilotversuche gemäss Art. 68quater IVG</w:t>
      </w:r>
    </w:p>
    <w:p w14:paraId="26B6CF69" w14:textId="6A8D486D" w:rsidR="00716684" w:rsidRPr="00716684" w:rsidRDefault="00716684" w:rsidP="00755D53">
      <w:pPr>
        <w:spacing w:line="259" w:lineRule="auto"/>
        <w:jc w:val="both"/>
      </w:pPr>
      <w:r w:rsidRPr="00716684">
        <w:t>Wir begrüssen die vorgeschlagene Änderung von Art. 68</w:t>
      </w:r>
      <w:r w:rsidRPr="00716684">
        <w:rPr>
          <w:vertAlign w:val="superscript"/>
        </w:rPr>
        <w:t>quater</w:t>
      </w:r>
      <w:r w:rsidRPr="00716684">
        <w:t xml:space="preserve"> IVG und die Ermöglichung von Pilotversuchen zum Zweck der selbstbestimmten Lebensführung. Die Komplexität des geltenden Systems muss reduziert werden, damit das selbstbestimmte und eigenverantwortliche Leben für Versicherte einfacher zugänglich wird.</w:t>
      </w:r>
    </w:p>
    <w:p w14:paraId="4E3FC46A" w14:textId="77777777" w:rsidR="00716684" w:rsidRPr="00716684" w:rsidRDefault="00716684" w:rsidP="00755D53">
      <w:pPr>
        <w:pStyle w:val="berschrift1"/>
        <w:spacing w:before="720"/>
      </w:pPr>
      <w:bookmarkStart w:id="18" w:name="_Toc210057834"/>
      <w:bookmarkStart w:id="19" w:name="_Toc210903214"/>
      <w:r w:rsidRPr="00716684">
        <w:t>2. Ausgangslage: Inklusions-Initiative verlangt BRK-Umsetzung</w:t>
      </w:r>
      <w:bookmarkEnd w:id="18"/>
      <w:bookmarkEnd w:id="19"/>
      <w:r w:rsidRPr="00716684">
        <w:t xml:space="preserve"> </w:t>
      </w:r>
    </w:p>
    <w:p w14:paraId="7F5EE51B" w14:textId="77777777" w:rsidR="00716684" w:rsidRPr="00716684" w:rsidRDefault="00716684" w:rsidP="00716684">
      <w:pPr>
        <w:spacing w:before="240" w:after="240" w:line="259" w:lineRule="auto"/>
        <w:jc w:val="both"/>
      </w:pPr>
      <w:r w:rsidRPr="00716684">
        <w:t xml:space="preserve">Seit der Ratifizierung der BRK durch die Schweiz im Jahr 2014 sind Bund und Kantone rechtlich zu ihrer umfassenden Umsetzung verpflichtet. Dazu gehört insbesondere die Gewährleistung der rechtlichen und tatsächlichen Gleichstellung für </w:t>
      </w:r>
      <w:r w:rsidRPr="00716684">
        <w:rPr>
          <w:i/>
          <w:iCs/>
        </w:rPr>
        <w:t>alle Menschen mit Behinderungen</w:t>
      </w:r>
      <w:r w:rsidRPr="00716684">
        <w:rPr>
          <w:vertAlign w:val="superscript"/>
        </w:rPr>
        <w:footnoteReference w:id="5"/>
      </w:r>
      <w:r w:rsidRPr="00716684">
        <w:t xml:space="preserve"> </w:t>
      </w:r>
      <w:r w:rsidRPr="00716684">
        <w:rPr>
          <w:i/>
          <w:iCs/>
        </w:rPr>
        <w:t>in allen Lebens- und Sachbereichen</w:t>
      </w:r>
      <w:r w:rsidRPr="00716684">
        <w:t>.</w:t>
      </w:r>
      <w:r w:rsidRPr="00716684">
        <w:rPr>
          <w:vertAlign w:val="superscript"/>
        </w:rPr>
        <w:footnoteReference w:id="6"/>
      </w:r>
      <w:r w:rsidRPr="00716684">
        <w:t> </w:t>
      </w:r>
    </w:p>
    <w:p w14:paraId="76882B66" w14:textId="77777777" w:rsidR="00716684" w:rsidRPr="00716684" w:rsidRDefault="00716684" w:rsidP="00716684">
      <w:pPr>
        <w:spacing w:before="240" w:after="240" w:line="259" w:lineRule="auto"/>
        <w:jc w:val="both"/>
      </w:pPr>
      <w:r w:rsidRPr="00716684">
        <w:t>Bis heute fehlen eine Strategie zur schrittweisen Umsetzung der BRK sowie die erforderlichen Massnahmen rechtsetzender, rechtsanwendender und planerischer Natur.</w:t>
      </w:r>
      <w:r w:rsidRPr="00716684">
        <w:rPr>
          <w:vertAlign w:val="superscript"/>
        </w:rPr>
        <w:footnoteReference w:id="7"/>
      </w:r>
      <w:r w:rsidRPr="00716684">
        <w:t xml:space="preserve"> </w:t>
      </w:r>
      <w:proofErr w:type="gramStart"/>
      <w:r w:rsidRPr="00716684">
        <w:t>Entsprechend</w:t>
      </w:r>
      <w:proofErr w:type="gramEnd"/>
      <w:r w:rsidRPr="00716684">
        <w:t xml:space="preserve"> sind Menschen mit Behinderungen nach wie vor mit tiefgreifenden und weitreichenden Einschränkungen ihrer Rechte konfrontiert. </w:t>
      </w:r>
    </w:p>
    <w:p w14:paraId="60F5EC27" w14:textId="4920769B" w:rsidR="00716684" w:rsidRPr="00716684" w:rsidRDefault="00716684" w:rsidP="00716684">
      <w:pPr>
        <w:spacing w:before="240" w:after="240" w:line="259" w:lineRule="auto"/>
        <w:jc w:val="both"/>
      </w:pPr>
      <w:r w:rsidRPr="00716684">
        <w:t>Dies ist der Grund, wieso Menschen mit Behinderungen, ihre Verbände sowie weitere Organisationen der Zivilgesellschaft im September 2024 die Inklusions-Initiative eingereicht haben. Mit dieser fordern wir eine Stärkung der Rechte von Menschen mit Behinderungen in der Bundesverfassung, damit die Verpflichtungen aus der BRK endlich umgesetzt werden. Wir verlangen insbesondere das Recht auf persönliche und technische Assistenz zwecks Sicherstellung der rechtlichen und tatsächlichen Gleichstellung sowie das Recht auf freie Wahl der Wohnform und des Wohnortes.</w:t>
      </w:r>
    </w:p>
    <w:p w14:paraId="557176FF" w14:textId="77777777" w:rsidR="00716684" w:rsidRPr="00716684" w:rsidRDefault="00716684" w:rsidP="00716684">
      <w:pPr>
        <w:spacing w:before="240" w:after="240" w:line="259" w:lineRule="auto"/>
        <w:jc w:val="both"/>
      </w:pPr>
      <w:r w:rsidRPr="00716684">
        <w:t xml:space="preserve">Uns ist bewusst, dass die Umsetzung der BRK nicht allein durch den Erlass eines Inklusionsgesetzes und einer Revision des IVG gewährleistet werden kann. Wir messen deshalb den indirekten Gegenvorschlag des Bundesrates daran, inwiefern er die Weichen für eine umfassende, wenn auch schrittweise Umsetzung der BRK stellt sowie in ausgewählten Lebensbereichen tatsächlich zur Verwirklichung des selbstbestimmten Lebens von Menschen mit Behinderungen beitragen kann. </w:t>
      </w:r>
    </w:p>
    <w:p w14:paraId="7CEF04E0" w14:textId="77777777" w:rsidR="00716684" w:rsidRPr="00716684" w:rsidRDefault="00716684" w:rsidP="00755D53">
      <w:pPr>
        <w:pStyle w:val="berschrift1"/>
        <w:spacing w:before="720"/>
      </w:pPr>
      <w:bookmarkStart w:id="20" w:name="_Toc210057835"/>
      <w:bookmarkStart w:id="21" w:name="_Toc210903215"/>
      <w:r w:rsidRPr="00716684">
        <w:lastRenderedPageBreak/>
        <w:t>3. Zum VE-</w:t>
      </w:r>
      <w:proofErr w:type="spellStart"/>
      <w:r w:rsidRPr="00716684">
        <w:t>InG</w:t>
      </w:r>
      <w:bookmarkEnd w:id="20"/>
      <w:bookmarkEnd w:id="21"/>
      <w:proofErr w:type="spellEnd"/>
    </w:p>
    <w:p w14:paraId="789B0952" w14:textId="77777777" w:rsidR="00716684" w:rsidRPr="00755D53" w:rsidRDefault="00716684" w:rsidP="00755D53">
      <w:pPr>
        <w:pStyle w:val="berschrift2"/>
        <w:spacing w:before="480"/>
        <w:rPr>
          <w:rFonts w:ascii="Arial" w:hAnsi="Arial" w:cs="Arial"/>
          <w:b/>
          <w:color w:val="auto"/>
          <w:sz w:val="24"/>
          <w:szCs w:val="24"/>
        </w:rPr>
      </w:pPr>
      <w:bookmarkStart w:id="22" w:name="_Toc210057836"/>
      <w:bookmarkStart w:id="23" w:name="_Toc210903216"/>
      <w:r w:rsidRPr="00755D53">
        <w:rPr>
          <w:rFonts w:ascii="Arial" w:hAnsi="Arial" w:cs="Arial"/>
          <w:b/>
          <w:color w:val="auto"/>
          <w:sz w:val="24"/>
          <w:szCs w:val="24"/>
        </w:rPr>
        <w:t>3.1 Einleitung</w:t>
      </w:r>
      <w:bookmarkEnd w:id="22"/>
      <w:bookmarkEnd w:id="23"/>
    </w:p>
    <w:p w14:paraId="6EC18A0B" w14:textId="5E907785" w:rsidR="00716684" w:rsidRPr="00716684" w:rsidRDefault="00716684" w:rsidP="00716684">
      <w:pPr>
        <w:spacing w:before="240" w:after="240" w:line="259" w:lineRule="auto"/>
        <w:jc w:val="both"/>
      </w:pPr>
      <w:r w:rsidRPr="00716684">
        <w:t xml:space="preserve">Die Verpackung täuscht: Der als «Bundesgesetz über die Inklusion von Menschen mit Behinderungen» betitelte Vorentwurf (abgekürzt «Inklusionsrahmengesetz» in den bundesrätlichen Erläuterungen) gibt vor, etwas zu sein, was er nicht ist. Ein </w:t>
      </w:r>
      <w:r w:rsidRPr="00716684">
        <w:rPr>
          <w:i/>
          <w:iCs/>
        </w:rPr>
        <w:t>Inklusions</w:t>
      </w:r>
      <w:r w:rsidRPr="00716684">
        <w:t>gesetz, welches als indirekter Gegenvorschlag zur Inklusions-Initiative verkauft wird, muss ein Gesetz sein, welches inhaltlich und konzeptionell die Weichen für die Politik der Inklusion von Menschen mit Behinderungen stellt, und damit für die BRK-Umsetzung in den nächsten 10 bis 20 Jahren. Ein solches Gesetz kann zwar nicht alle Benachteiligungen im Alltag der Menschen mit Behinderungen von heute auf morgen beseitigen; allein kann es auch nicht Inklusion, bzw. die rechtliche und tatsächliche Gleichstellung von Menschen mit Behinderungen gewährleisten. Ein Gesetz, welches Inklusionsgesetz genannt wird, muss aber zwingend den Plan aufstellen, wie dies schrittweise erfolgt und die hierzu notwendigen inhaltlichen Verpflichtungen und organisatorischen Vorkehr</w:t>
      </w:r>
      <w:r w:rsidR="002E0A0B">
        <w:t>ung</w:t>
      </w:r>
      <w:r w:rsidRPr="00716684">
        <w:t>en beinhalten.</w:t>
      </w:r>
    </w:p>
    <w:p w14:paraId="11D9C08F" w14:textId="368FD537" w:rsidR="00716684" w:rsidRPr="00716684" w:rsidRDefault="00716684" w:rsidP="00716684">
      <w:pPr>
        <w:spacing w:before="240" w:after="240" w:line="259" w:lineRule="auto"/>
        <w:jc w:val="both"/>
      </w:pPr>
      <w:r w:rsidRPr="00716684">
        <w:rPr>
          <w:b/>
          <w:bCs/>
        </w:rPr>
        <w:t>Der als Inklusionsrahmengesetz bezeichnete Vorentwurf kann seine eigenen Ansprüche nicht einlösen.</w:t>
      </w:r>
      <w:r w:rsidRPr="00716684">
        <w:t xml:space="preserve"> Es handelt sich beim Vorentwurf lediglich um ein Gesetz über das Wohnen von Menschen mit Behinderungen in Institutionen, geschmückt mit wenigen, wirkungslosen Bestimmungen zur Inklusion und selbstbestimmten Lebensführung. Entsprechend besteht der Vorentwurf auch fast zur Hälfte aus den (leicht überarbeiteten) Bestimmungen des Bundesgesetzes über die Institutionen zur Förderung der Eingliederung von invaliden Personen (IFEG), welches bezweckt, «invaliden Personen» den Zugang zu einer Institution zu gewährleisten. Nachfolgend wird näher ausgeführt, weshalb der Vorentwurf des Inklusionsgesetzes in dieser Form inakzeptabel</w:t>
      </w:r>
      <w:r w:rsidR="00A40E2C">
        <w:t xml:space="preserve"> ist</w:t>
      </w:r>
      <w:r w:rsidRPr="00716684">
        <w:t>.</w:t>
      </w:r>
    </w:p>
    <w:p w14:paraId="69BCEB77" w14:textId="77777777" w:rsidR="00716684" w:rsidRPr="003B09BD" w:rsidRDefault="00716684" w:rsidP="003B09BD">
      <w:pPr>
        <w:pStyle w:val="berschrift2"/>
        <w:spacing w:before="480"/>
        <w:rPr>
          <w:rFonts w:ascii="Arial" w:hAnsi="Arial" w:cs="Arial"/>
          <w:b/>
          <w:color w:val="auto"/>
          <w:sz w:val="24"/>
          <w:szCs w:val="24"/>
        </w:rPr>
      </w:pPr>
      <w:bookmarkStart w:id="24" w:name="_Ref202271927"/>
      <w:bookmarkStart w:id="25" w:name="_Toc210057837"/>
      <w:bookmarkStart w:id="26" w:name="_Toc210903217"/>
      <w:r w:rsidRPr="003B09BD">
        <w:rPr>
          <w:rFonts w:ascii="Arial" w:hAnsi="Arial" w:cs="Arial"/>
          <w:b/>
          <w:color w:val="auto"/>
          <w:sz w:val="24"/>
          <w:szCs w:val="24"/>
        </w:rPr>
        <w:t>3.2 Zu enger Geltungsbereich</w:t>
      </w:r>
      <w:bookmarkEnd w:id="24"/>
      <w:bookmarkEnd w:id="25"/>
      <w:bookmarkEnd w:id="26"/>
    </w:p>
    <w:p w14:paraId="0FA212F1" w14:textId="77777777" w:rsidR="00716684" w:rsidRPr="00716684" w:rsidRDefault="00716684" w:rsidP="00716684">
      <w:pPr>
        <w:spacing w:before="240" w:after="240" w:line="259" w:lineRule="auto"/>
        <w:jc w:val="both"/>
      </w:pPr>
      <w:r w:rsidRPr="00716684">
        <w:t xml:space="preserve">Der Geltungsbereich eines Gesetzes des Bundes über die Inklusion von Menschen mit Behinderungen muss in persönlicher und sachlicher Hinsicht so festgelegt werden, dass er für </w:t>
      </w:r>
      <w:r w:rsidRPr="00716684">
        <w:rPr>
          <w:i/>
          <w:iCs/>
        </w:rPr>
        <w:t>alle</w:t>
      </w:r>
      <w:r w:rsidRPr="00716684">
        <w:t xml:space="preserve"> Menschen mit Behinderungen greift und für die schrittweise Gewährleistung ihrer </w:t>
      </w:r>
      <w:r w:rsidRPr="00716684">
        <w:rPr>
          <w:i/>
          <w:iCs/>
        </w:rPr>
        <w:t>rechtlichen und tatsächlichen Gleichstellung</w:t>
      </w:r>
      <w:r w:rsidRPr="00716684">
        <w:t xml:space="preserve"> in </w:t>
      </w:r>
      <w:r w:rsidRPr="00716684">
        <w:rPr>
          <w:i/>
          <w:iCs/>
        </w:rPr>
        <w:t>allen</w:t>
      </w:r>
      <w:r w:rsidRPr="00716684">
        <w:t xml:space="preserve"> Lebensbereichen den Rahmen steckt.</w:t>
      </w:r>
    </w:p>
    <w:p w14:paraId="57BD71CE" w14:textId="77777777" w:rsidR="00716684" w:rsidRPr="00716684" w:rsidRDefault="00716684" w:rsidP="007C08AD">
      <w:pPr>
        <w:pStyle w:val="Listenabsatz"/>
        <w:spacing w:before="720"/>
        <w:outlineLvl w:val="2"/>
      </w:pPr>
      <w:bookmarkStart w:id="27" w:name="_Toc210057838"/>
      <w:bookmarkStart w:id="28" w:name="_Toc210903218"/>
      <w:r w:rsidRPr="00716684">
        <w:t>3.2.1 Sachlicher Geltungsbereich</w:t>
      </w:r>
      <w:bookmarkEnd w:id="27"/>
      <w:bookmarkEnd w:id="28"/>
    </w:p>
    <w:p w14:paraId="19C3C5E7" w14:textId="5D0CCC31" w:rsidR="00716684" w:rsidRPr="00716684" w:rsidRDefault="00716684" w:rsidP="00716684">
      <w:pPr>
        <w:spacing w:before="240" w:after="240" w:line="259" w:lineRule="auto"/>
        <w:jc w:val="both"/>
        <w:rPr>
          <w:b/>
          <w:bCs/>
        </w:rPr>
      </w:pPr>
      <w:r w:rsidRPr="00716684">
        <w:t>In sachlicher Hinsicht greift der VE-</w:t>
      </w:r>
      <w:proofErr w:type="spellStart"/>
      <w:r w:rsidRPr="00716684">
        <w:t>InG</w:t>
      </w:r>
      <w:proofErr w:type="spellEnd"/>
      <w:r w:rsidRPr="00716684">
        <w:t xml:space="preserve"> gänzlich zu kurz: Nur die wenigsten Bestimmungen des VE-</w:t>
      </w:r>
      <w:proofErr w:type="spellStart"/>
      <w:r w:rsidRPr="00716684">
        <w:t>InG</w:t>
      </w:r>
      <w:proofErr w:type="spellEnd"/>
      <w:r w:rsidRPr="00716684">
        <w:t xml:space="preserve"> gelten für alle Sach- und Lebensbereiche.</w:t>
      </w:r>
      <w:r w:rsidRPr="00716684">
        <w:rPr>
          <w:vertAlign w:val="superscript"/>
        </w:rPr>
        <w:footnoteReference w:id="8"/>
      </w:r>
      <w:r w:rsidRPr="00716684">
        <w:t xml:space="preserve"> Ansonsten </w:t>
      </w:r>
      <w:r w:rsidRPr="00716684">
        <w:rPr>
          <w:b/>
          <w:bCs/>
        </w:rPr>
        <w:t>beschränkt</w:t>
      </w:r>
      <w:r w:rsidRPr="00716684">
        <w:t xml:space="preserve"> er </w:t>
      </w:r>
      <w:r w:rsidRPr="00716684">
        <w:rPr>
          <w:b/>
          <w:bCs/>
        </w:rPr>
        <w:t>sich</w:t>
      </w:r>
      <w:r w:rsidRPr="00716684">
        <w:t xml:space="preserve"> in einem unnötig engen verfassungsrechtlichen Korsett (Art. 112b </w:t>
      </w:r>
      <w:r w:rsidRPr="00716684">
        <w:lastRenderedPageBreak/>
        <w:t xml:space="preserve">Abs. 3 BV) </w:t>
      </w:r>
      <w:r w:rsidRPr="00716684">
        <w:rPr>
          <w:b/>
          <w:bCs/>
        </w:rPr>
        <w:t>auf eine ungenügende Regelung des Bereichs Wohnens</w:t>
      </w:r>
      <w:r w:rsidRPr="00716684">
        <w:t>.</w:t>
      </w:r>
      <w:r w:rsidRPr="00716684">
        <w:rPr>
          <w:vertAlign w:val="superscript"/>
        </w:rPr>
        <w:footnoteReference w:id="9"/>
      </w:r>
      <w:r w:rsidRPr="00716684">
        <w:t xml:space="preserve"> Dies verkennt das Anliegen der Inklusions-Initiative und die verfassungsrechtlichen Zuständigkeiten des Bundes.</w:t>
      </w:r>
      <w:r w:rsidRPr="00716684">
        <w:rPr>
          <w:vertAlign w:val="superscript"/>
        </w:rPr>
        <w:footnoteReference w:id="10"/>
      </w:r>
      <w:r w:rsidRPr="00716684">
        <w:t xml:space="preserve"> Entgegen seiner Bezeichnung kann das Inklusionsgesetz schon nur deshalb in keiner Weise den von der Inklusions-Initiative geforderten Rahmen für die Grundlagen und Umsetzung der Rechte von Menschen mit Behinderungen in den nächsten zwei Jahrzehnten gewährleisten. An dieser Stelle ist auch daran zu erinnern, dass die von der Kommission des Nationalrates für soziale Sicherheit und Gesundheit </w:t>
      </w:r>
      <w:hyperlink r:id="rId12" w:history="1">
        <w:r w:rsidRPr="00716684">
          <w:rPr>
            <w:rStyle w:val="Hyperlink"/>
          </w:rPr>
          <w:t xml:space="preserve">Motion 24.3003 </w:t>
        </w:r>
      </w:hyperlink>
      <w:bookmarkStart w:id="29" w:name="_Ref161473225"/>
      <w:r w:rsidRPr="00716684">
        <w:t xml:space="preserve">«Das IFEG modernisieren. Gleiche Wahlmöglichkeiten und entsprechende ambulante Unterstützung für Menschen mit Behinderungen im Bereich Wohnen» am 6. März 2025 an den Bundesrat überwiesen worden ist. Damit wurde er beauftragt, «durch eine Revision des Bundesgesetzes über die Institutionen zur Förderung der Eingliederung von invaliden Personen (IFEG) sowie der weiteren damit verbundenen Bundesgesetze zeitgemässe Rechtsgrundlagen zu schaffen, damit Menschen mit Behinderungen ihre Wohnform sowie ihren Wohnort frei und selbstbestimmt wählen können sowie die hierzu nötige Unterstützung erhalten.» Selbst ohne die Inklusions-Initiative müsste der Bundesrat handeln, um das Recht von Menschen mit Behinderungen auf freie Wahl der Wohnform und des Wohnortes zu gewährleisten. </w:t>
      </w:r>
    </w:p>
    <w:p w14:paraId="068BEF23" w14:textId="77777777" w:rsidR="00716684" w:rsidRPr="00716684" w:rsidRDefault="00716684" w:rsidP="00716684">
      <w:pPr>
        <w:spacing w:before="240" w:after="240" w:line="259" w:lineRule="auto"/>
        <w:jc w:val="both"/>
      </w:pPr>
      <w:r w:rsidRPr="00716684">
        <w:t xml:space="preserve">Es erscheint zwar politisch realistisch und durchaus sinnvoll, beim erstmaligen Erlass eines </w:t>
      </w:r>
      <w:proofErr w:type="spellStart"/>
      <w:r w:rsidRPr="00716684">
        <w:t>InG</w:t>
      </w:r>
      <w:proofErr w:type="spellEnd"/>
      <w:r w:rsidRPr="00716684">
        <w:t xml:space="preserve"> wenige wichtige Lebens- und Sachbereiche auszuwählen, in denen die rechtliche und tatsächliche Gleichstellung von Menschen mit Behinderungen durch spezifische Bestimmungen gewährleistet werden soll. Auf eine Konkretisierung der BRK-Verpflichtungen nur für ausgewählte Bereiche darf sich aber ein Inklusionsgesetz als Rahmengesetz keineswegs beschränken, geschweige denn auf eine isolierte Regelung im Bereich des Wohnens. </w:t>
      </w:r>
    </w:p>
    <w:p w14:paraId="4161B861" w14:textId="255002E3" w:rsidR="00716684" w:rsidRPr="00716684" w:rsidRDefault="00716684" w:rsidP="00716684">
      <w:pPr>
        <w:spacing w:before="240" w:after="240" w:line="259" w:lineRule="auto"/>
        <w:jc w:val="both"/>
      </w:pPr>
      <w:r w:rsidRPr="00716684">
        <w:t xml:space="preserve">Die erste Auflage eines </w:t>
      </w:r>
      <w:proofErr w:type="spellStart"/>
      <w:r w:rsidRPr="00716684">
        <w:t>InG</w:t>
      </w:r>
      <w:proofErr w:type="spellEnd"/>
      <w:r w:rsidRPr="00716684">
        <w:t>, um die es vorliegend geht, muss so konzipiert sein, dass das Gesetz im Laufe der Zeit ergänzt werden kann, insbesondere mit weiteren spezifischen Sach- und Lebensbereichen.</w:t>
      </w:r>
      <w:r w:rsidRPr="00716684">
        <w:rPr>
          <w:vertAlign w:val="superscript"/>
        </w:rPr>
        <w:footnoteReference w:id="11"/>
      </w:r>
      <w:r w:rsidRPr="00716684">
        <w:t xml:space="preserve"> Es </w:t>
      </w:r>
      <w:r w:rsidRPr="00716684">
        <w:rPr>
          <w:b/>
          <w:bCs/>
        </w:rPr>
        <w:t xml:space="preserve">muss </w:t>
      </w:r>
      <w:r w:rsidRPr="00716684">
        <w:t>zudem</w:t>
      </w:r>
      <w:r w:rsidRPr="00716684">
        <w:rPr>
          <w:b/>
          <w:bCs/>
        </w:rPr>
        <w:t xml:space="preserve"> zwingend Bestimmungen enthalten, welche gewährleisten, dass die BRK schrittweise umgesetzt wird.</w:t>
      </w:r>
      <w:r w:rsidRPr="00716684">
        <w:t xml:space="preserve"> Dazu braucht es im Gesetz eine allgemeine Verpflichtung des Bundes und der Kantone im Rahmen ihrer Zuständigkeiten, von Amtes wegen alle erforderlichen Anpassungs- und Unterstützungsmassnahmen zu ergreifen, die zur Unterlassung von Eingriffen in die Rechte aus der BRK, zu ihrem Schutz und für ihre Gewährleistung erforderlich sind. Es ist zu spezifizieren, dass die Anpassungs- und Unterstützungsmassnahmen insbesondere in den Formen der Rechtsetzung, der Rechtsanwendung und der Planung ergriffen werden müssen und dass sie sachliche, technische, personelle, finanzielle, organisatorische und verfahrensmässige Vorkehr</w:t>
      </w:r>
      <w:r w:rsidR="00E738F7">
        <w:t>ung</w:t>
      </w:r>
      <w:r w:rsidRPr="00716684">
        <w:t xml:space="preserve">en mitumfassen. Um die kontinuierliche Umsetzung der BRK sicherzustellen, sind in das </w:t>
      </w:r>
      <w:proofErr w:type="spellStart"/>
      <w:r w:rsidRPr="00716684">
        <w:t>InG</w:t>
      </w:r>
      <w:proofErr w:type="spellEnd"/>
      <w:r w:rsidRPr="00716684">
        <w:t xml:space="preserve"> auch organisatorische </w:t>
      </w:r>
      <w:r w:rsidRPr="00716684">
        <w:lastRenderedPageBreak/>
        <w:t xml:space="preserve">Vorkehren – wie etwa verbindliche Strategien, Aktionspläne und ein unabhängiges Monitoring der Umsetzung der BRK – zu verankern. </w:t>
      </w:r>
      <w:r w:rsidRPr="00716684">
        <w:rPr>
          <w:b/>
          <w:bCs/>
        </w:rPr>
        <w:t>Diese müssen für Bund und Kantone sowie alle BRK-Bereiche gelten.</w:t>
      </w:r>
      <w:r w:rsidRPr="00716684">
        <w:rPr>
          <w:vertAlign w:val="superscript"/>
        </w:rPr>
        <w:footnoteReference w:id="12"/>
      </w:r>
      <w:r w:rsidRPr="00716684">
        <w:t xml:space="preserve"> Schliesslich ist der Bund im Rahmen seiner aufsichtsrechtlichen Befugnisse auch verpflichtet, die Umsetzung der BRK durch die Kantone sicherzustellen und diese bei ihren entsprechenden Massnahmen zu unterstützen.</w:t>
      </w:r>
    </w:p>
    <w:p w14:paraId="5CEB3096" w14:textId="77777777" w:rsidR="00716684" w:rsidRPr="00716684" w:rsidRDefault="00716684" w:rsidP="003B09BD">
      <w:pPr>
        <w:pStyle w:val="berschrift3"/>
        <w:rPr>
          <w:rFonts w:ascii="Arial" w:hAnsi="Arial" w:cs="Arial"/>
          <w:color w:val="auto"/>
        </w:rPr>
      </w:pPr>
      <w:bookmarkStart w:id="30" w:name="_Toc210057839"/>
      <w:bookmarkStart w:id="31" w:name="_Toc210903219"/>
      <w:r w:rsidRPr="00716684">
        <w:rPr>
          <w:rFonts w:ascii="Arial" w:hAnsi="Arial" w:cs="Arial"/>
          <w:color w:val="auto"/>
        </w:rPr>
        <w:t>3.2.2 Persönlicher Geltungsbereich</w:t>
      </w:r>
      <w:bookmarkEnd w:id="30"/>
      <w:bookmarkEnd w:id="31"/>
    </w:p>
    <w:p w14:paraId="45B3D20B" w14:textId="77777777" w:rsidR="00716684" w:rsidRPr="00716684" w:rsidRDefault="00716684" w:rsidP="00716684">
      <w:pPr>
        <w:spacing w:before="240" w:after="240" w:line="259" w:lineRule="auto"/>
        <w:jc w:val="both"/>
      </w:pPr>
      <w:r w:rsidRPr="00716684">
        <w:t>Der Begriff der Behinderung bzw. des Menschen mit Behinderung wurde nicht erst durch die Ratifizierung der BRK</w:t>
      </w:r>
      <w:r w:rsidRPr="00716684">
        <w:rPr>
          <w:vertAlign w:val="superscript"/>
        </w:rPr>
        <w:footnoteReference w:id="13"/>
      </w:r>
      <w:r w:rsidRPr="00716684">
        <w:t xml:space="preserve"> Bestandteil des Schweizer Rechts. Im Zusammenhang mit Art. 8 Abs. 2 BV hat das Bundesgericht schon lange und in konstanter Rechtsprechung festgehalten, dass eine </w:t>
      </w:r>
      <w:r w:rsidRPr="00716684">
        <w:rPr>
          <w:i/>
          <w:iCs/>
        </w:rPr>
        <w:t>Behinderung</w:t>
      </w:r>
      <w:r w:rsidRPr="00716684">
        <w:t xml:space="preserve"> vorliegt, wenn die betroffene Person in ihren körperlichen, geistigen oder psychischen Fähigkeiten auf Dauer beeinträchtigt ist und diese Beeinträchtigung schwerwiegende Auswirkungen auf elementare Aspekte ihrer Lebensführung hat.</w:t>
      </w:r>
      <w:r w:rsidRPr="00716684">
        <w:rPr>
          <w:vertAlign w:val="superscript"/>
        </w:rPr>
        <w:footnoteReference w:id="14"/>
      </w:r>
      <w:r w:rsidRPr="00716684">
        <w:t xml:space="preserve"> Art. 2 Abs. 1 BehiG definiert den Menschen mit Behinderung als Person, der es eine voraussichtlich dauernde körperliche, geistige oder psychische Beeinträchtigung erschwert oder verunmöglicht, alltägliche Verrichtungen vorzunehmen, soziale Kontakte zu pflegen, sich fortzubewegen, sich aus- und weiterzubilden oder eine Erwerbstätigkeit auszuüben. In der laufenden BehiG-Teilrevision ist vorgesehen, Art. 2 Abs. 1 noch näher am Wortlaut der BRK zu formulieren.</w:t>
      </w:r>
      <w:r w:rsidRPr="00716684">
        <w:rPr>
          <w:vertAlign w:val="superscript"/>
        </w:rPr>
        <w:footnoteReference w:id="15"/>
      </w:r>
      <w:r w:rsidRPr="00716684">
        <w:t xml:space="preserve"> Drei Kantone, Basel-Stadt, Basel-Land und Wallis, haben entsprechende Definitionen in ihre Gesetze aufgenommen, die im Bereich der kantonalen Kompetenzen die Umsetzung der BRK sicherstellen sollen.</w:t>
      </w:r>
      <w:r w:rsidRPr="00716684">
        <w:rPr>
          <w:vertAlign w:val="superscript"/>
        </w:rPr>
        <w:footnoteReference w:id="16"/>
      </w:r>
      <w:r w:rsidRPr="00716684">
        <w:t xml:space="preserve"> </w:t>
      </w:r>
    </w:p>
    <w:p w14:paraId="1E8DCAE3" w14:textId="77777777" w:rsidR="00716684" w:rsidRPr="00716684" w:rsidRDefault="00716684" w:rsidP="00716684">
      <w:pPr>
        <w:spacing w:before="240" w:after="240" w:line="259" w:lineRule="auto"/>
        <w:jc w:val="both"/>
      </w:pPr>
      <w:r w:rsidRPr="00716684">
        <w:t>Es ist vor diesem völker-, verfassungs- und bundesrechtlichen Hintergrund unverständlich, wie eng der persönliche Geltungsbereich des VE-</w:t>
      </w:r>
      <w:proofErr w:type="spellStart"/>
      <w:r w:rsidRPr="00716684">
        <w:t>InG</w:t>
      </w:r>
      <w:proofErr w:type="spellEnd"/>
      <w:r w:rsidRPr="00716684">
        <w:t xml:space="preserve"> gefasst worden ist. Dieser verengt sich einzig auf Menschen mit Behinderungen im Sinne von Art. 112b BV (Art. 1 Abs. 1 VE-</w:t>
      </w:r>
      <w:proofErr w:type="spellStart"/>
      <w:r w:rsidRPr="00716684">
        <w:t>InG</w:t>
      </w:r>
      <w:proofErr w:type="spellEnd"/>
      <w:r w:rsidRPr="00716684">
        <w:t>). Gemäss Botschaft des Bundesrates sind mit dem Begriff der Invaliden in Art. 112b BV erwerbsunfähige Personen im Sinne der Invalidenversicherung gemeint.</w:t>
      </w:r>
      <w:r w:rsidRPr="00716684">
        <w:rPr>
          <w:vertAlign w:val="superscript"/>
        </w:rPr>
        <w:footnoteReference w:id="17"/>
      </w:r>
      <w:r w:rsidRPr="00716684">
        <w:t xml:space="preserve"> Nach Art. 8 Abs. 1 ATSG ist «Invalidität» die voraussichtlich bleibende oder längere Zeit dauernde ganze oder teilweise Erwerbsunfähigkeit. Die Invalidität kann nach Art. 4 Abs. 1 IVG Folge von Geburtsgebrechen, Krankheit oder Unfall sein.</w:t>
      </w:r>
    </w:p>
    <w:p w14:paraId="40AD269B" w14:textId="77777777" w:rsidR="00716684" w:rsidRPr="00716684" w:rsidRDefault="00716684" w:rsidP="00716684">
      <w:pPr>
        <w:spacing w:before="240" w:after="240" w:line="259" w:lineRule="auto"/>
        <w:jc w:val="both"/>
      </w:pPr>
      <w:r w:rsidRPr="00716684">
        <w:lastRenderedPageBreak/>
        <w:t xml:space="preserve">Die Begriffsdefinition in der Botschaft wird in der heutigen Lehre zwar als zu eng kritisiert. Wie weit jedoch dieser Begriff gemäss dieser Kritik zu verstehen ist, bleibt unklar. Nach Giovanni </w:t>
      </w:r>
      <w:proofErr w:type="spellStart"/>
      <w:r w:rsidRPr="00716684">
        <w:t>Biaggini</w:t>
      </w:r>
      <w:proofErr w:type="spellEnd"/>
      <w:r w:rsidRPr="00716684">
        <w:t xml:space="preserve"> sind nicht alle Menschen mit Behinderungen, aber zusätzlich zu den dauerhaften Erwerbsunfähigen «wohl auch» weitere von der IV-Gesetzgebung erfasste Personen gemeint.</w:t>
      </w:r>
      <w:r w:rsidRPr="00716684">
        <w:rPr>
          <w:vertAlign w:val="superscript"/>
        </w:rPr>
        <w:footnoteReference w:id="18"/>
      </w:r>
      <w:r w:rsidRPr="00716684">
        <w:t xml:space="preserve"> Thomas Gächter/Martina </w:t>
      </w:r>
      <w:proofErr w:type="spellStart"/>
      <w:r w:rsidRPr="00716684">
        <w:t>Philippo</w:t>
      </w:r>
      <w:proofErr w:type="spellEnd"/>
      <w:r w:rsidRPr="00716684">
        <w:t xml:space="preserve"> halten fest, dass sich der Anwendungsbereich der Verfassungsbestimmung nicht nur auf die rentenbegründende Invalidität bezieht. Vielmehr müsse er «einen weiteren Kreis von gesundheitlich beeinträchtigten Personen erfassen, deren Erwerbsfähigkeit oder deren Fähigkeit, sich in einem nichterwerblichen Aufgabenbereich zu betätigen, beeinträchtigt oder bedroht ist».</w:t>
      </w:r>
      <w:r w:rsidRPr="00716684">
        <w:rPr>
          <w:vertAlign w:val="superscript"/>
        </w:rPr>
        <w:t xml:space="preserve"> </w:t>
      </w:r>
      <w:r w:rsidRPr="00716684">
        <w:footnoteReference w:id="19"/>
      </w:r>
      <w:r w:rsidRPr="00716684">
        <w:t xml:space="preserve">. </w:t>
      </w:r>
      <w:r w:rsidRPr="00716684">
        <w:rPr>
          <w:lang w:val="fr-CH"/>
        </w:rPr>
        <w:t xml:space="preserve">Anne-Sylvie Dupont </w:t>
      </w:r>
      <w:proofErr w:type="spellStart"/>
      <w:r w:rsidRPr="00716684">
        <w:rPr>
          <w:lang w:val="fr-CH"/>
        </w:rPr>
        <w:t>konkretisiert</w:t>
      </w:r>
      <w:proofErr w:type="spellEnd"/>
      <w:r w:rsidRPr="00716684">
        <w:rPr>
          <w:lang w:val="fr-CH"/>
        </w:rPr>
        <w:t xml:space="preserve"> </w:t>
      </w:r>
      <w:proofErr w:type="spellStart"/>
      <w:r w:rsidRPr="00716684">
        <w:rPr>
          <w:lang w:val="fr-CH"/>
        </w:rPr>
        <w:t>ihr</w:t>
      </w:r>
      <w:proofErr w:type="spellEnd"/>
      <w:r w:rsidRPr="00716684">
        <w:rPr>
          <w:lang w:val="fr-CH"/>
        </w:rPr>
        <w:t xml:space="preserve"> </w:t>
      </w:r>
      <w:proofErr w:type="spellStart"/>
      <w:r w:rsidRPr="00716684">
        <w:rPr>
          <w:lang w:val="fr-CH"/>
        </w:rPr>
        <w:t>weites</w:t>
      </w:r>
      <w:proofErr w:type="spellEnd"/>
      <w:r w:rsidRPr="00716684">
        <w:rPr>
          <w:lang w:val="fr-CH"/>
        </w:rPr>
        <w:t xml:space="preserve"> </w:t>
      </w:r>
      <w:proofErr w:type="spellStart"/>
      <w:r w:rsidRPr="00716684">
        <w:rPr>
          <w:lang w:val="fr-CH"/>
        </w:rPr>
        <w:t>Verständnis</w:t>
      </w:r>
      <w:proofErr w:type="spellEnd"/>
      <w:r w:rsidRPr="00716684">
        <w:rPr>
          <w:lang w:val="fr-CH"/>
        </w:rPr>
        <w:t xml:space="preserve"> der </w:t>
      </w:r>
      <w:proofErr w:type="spellStart"/>
      <w:r w:rsidRPr="00716684">
        <w:rPr>
          <w:lang w:val="fr-CH"/>
        </w:rPr>
        <w:t>Invalidität</w:t>
      </w:r>
      <w:proofErr w:type="spellEnd"/>
      <w:r w:rsidRPr="00716684">
        <w:rPr>
          <w:lang w:val="fr-CH"/>
        </w:rPr>
        <w:t xml:space="preserve"> </w:t>
      </w:r>
      <w:proofErr w:type="spellStart"/>
      <w:r w:rsidRPr="00716684">
        <w:rPr>
          <w:lang w:val="fr-CH"/>
        </w:rPr>
        <w:t>als</w:t>
      </w:r>
      <w:proofErr w:type="spellEnd"/>
      <w:proofErr w:type="gramStart"/>
      <w:r w:rsidRPr="00716684">
        <w:rPr>
          <w:lang w:val="fr-CH"/>
        </w:rPr>
        <w:t xml:space="preserve"> «tout</w:t>
      </w:r>
      <w:proofErr w:type="gramEnd"/>
      <w:r w:rsidRPr="00716684">
        <w:rPr>
          <w:lang w:val="fr-CH"/>
        </w:rPr>
        <w:t xml:space="preserve"> état de fait susceptible de donner droit à des prestations de l’AI, conformément à l’art. 4 al. 2 LAI (…) sans égard à la perte de </w:t>
      </w:r>
      <w:proofErr w:type="gramStart"/>
      <w:r w:rsidRPr="00716684">
        <w:rPr>
          <w:lang w:val="fr-CH"/>
        </w:rPr>
        <w:t>gain»</w:t>
      </w:r>
      <w:proofErr w:type="gramEnd"/>
      <w:r w:rsidRPr="00716684">
        <w:rPr>
          <w:lang w:val="fr-CH"/>
        </w:rPr>
        <w:t xml:space="preserve">. </w:t>
      </w:r>
      <w:r w:rsidRPr="00716684">
        <w:t>Auch müssten ihrer Ansicht nach diejenigen Personen erfasst werden, die von Invalidität bedroht sind.</w:t>
      </w:r>
      <w:r w:rsidRPr="00716684">
        <w:rPr>
          <w:vertAlign w:val="superscript"/>
        </w:rPr>
        <w:footnoteReference w:id="20"/>
      </w:r>
      <w:r w:rsidRPr="00716684">
        <w:t xml:space="preserve"> Hardy Landolt wiederum hält fest, dass die Botschaft ein «weites Begriffsverständnis vorschlagen» würde, der jedenfalls nicht leistungsspezifisch sei.</w:t>
      </w:r>
      <w:r w:rsidRPr="00716684">
        <w:rPr>
          <w:vertAlign w:val="superscript"/>
        </w:rPr>
        <w:footnoteReference w:id="21"/>
      </w:r>
      <w:r w:rsidRPr="00716684">
        <w:t xml:space="preserve"> Die Anknüpfung an die Erwerbsunfähigkeit scheint er nicht in Frage zu stellen.</w:t>
      </w:r>
    </w:p>
    <w:p w14:paraId="4DAECE5E" w14:textId="77777777" w:rsidR="00716684" w:rsidRPr="00716684" w:rsidRDefault="00716684" w:rsidP="00716684">
      <w:pPr>
        <w:spacing w:before="240" w:after="240" w:line="259" w:lineRule="auto"/>
        <w:jc w:val="both"/>
      </w:pPr>
      <w:r w:rsidRPr="00716684">
        <w:t>Der Erläuternde Bericht des Bundesrates zur Eröffnung des Vernehmlassungsverfahrens vom 25. Juni 2025 bringt keine Klärung und auch keine Korrektur des vorgesehenen Gesetzeswortlaut, wenn er vor dem Hintergrund der erwähnten Lehre in Ziff. 7.1 festhält: «Aus diesem Grund zielt dieser Vorentwurf auf die Inklusion von Menschen mit Behinderungen im weiteren Sinne, namentlich von Personen, die Unterstützungs- und Begleitmassnahmen nach Artikel 112b BV erhalten.»</w:t>
      </w:r>
    </w:p>
    <w:p w14:paraId="462FBF9E" w14:textId="77777777" w:rsidR="00716684" w:rsidRPr="00716684" w:rsidRDefault="00716684" w:rsidP="00716684">
      <w:pPr>
        <w:spacing w:before="240" w:after="240" w:line="259" w:lineRule="auto"/>
        <w:jc w:val="both"/>
      </w:pPr>
      <w:r w:rsidRPr="00716684">
        <w:rPr>
          <w:b/>
          <w:bCs/>
        </w:rPr>
        <w:t>Die Formulierung in Art. 1 Abs. 1 VE-</w:t>
      </w:r>
      <w:proofErr w:type="spellStart"/>
      <w:r w:rsidRPr="00716684">
        <w:rPr>
          <w:b/>
          <w:bCs/>
        </w:rPr>
        <w:t>InG</w:t>
      </w:r>
      <w:proofErr w:type="spellEnd"/>
      <w:r w:rsidRPr="00716684">
        <w:rPr>
          <w:b/>
          <w:bCs/>
        </w:rPr>
        <w:t xml:space="preserve"> erfasst </w:t>
      </w:r>
      <w:r w:rsidRPr="00716684">
        <w:rPr>
          <w:b/>
          <w:bCs/>
          <w:i/>
          <w:iCs/>
        </w:rPr>
        <w:t>ausdrücklich</w:t>
      </w:r>
      <w:r w:rsidRPr="00716684">
        <w:rPr>
          <w:b/>
          <w:bCs/>
        </w:rPr>
        <w:t xml:space="preserve"> nicht alle Menschen mit Behinderungen nach BRK, BV und BehiG, sondern ausschliesslich «Invalide» im Sinne von Art. 112b BV</w:t>
      </w:r>
      <w:r w:rsidRPr="00716684">
        <w:t>. Durch die Formulierung des Bundesrates wird gar eine Auslegung der «Invalidität» nach Art. 112b BV im Lichte der BRK verunmöglicht: Wenn Menschen mit Behinderungen im Sinne von BRK, BV und BehiG gemeint sein sollen, dann ist es unnötig, auf Art. 112b BV zu verweisen.</w:t>
      </w:r>
    </w:p>
    <w:p w14:paraId="30D6F793" w14:textId="77777777" w:rsidR="00716684" w:rsidRPr="00716684" w:rsidRDefault="00716684" w:rsidP="00716684">
      <w:pPr>
        <w:spacing w:before="240" w:after="240" w:line="259" w:lineRule="auto"/>
        <w:jc w:val="both"/>
      </w:pPr>
      <w:r w:rsidRPr="00716684">
        <w:rPr>
          <w:b/>
          <w:bCs/>
        </w:rPr>
        <w:t>Es ist davon auszugehen, dass von den über 1.9 Mio. Menschen mit Behinderungen gemäss Bundesamt für Statistik</w:t>
      </w:r>
      <w:r w:rsidRPr="00716684">
        <w:rPr>
          <w:b/>
          <w:bCs/>
          <w:vertAlign w:val="superscript"/>
        </w:rPr>
        <w:footnoteReference w:id="22"/>
      </w:r>
      <w:r w:rsidRPr="00716684">
        <w:rPr>
          <w:b/>
          <w:bCs/>
        </w:rPr>
        <w:t xml:space="preserve"> gut zwei Drittel nicht erfasst sein dürften</w:t>
      </w:r>
      <w:r w:rsidRPr="00716684">
        <w:rPr>
          <w:vertAlign w:val="superscript"/>
        </w:rPr>
        <w:footnoteReference w:id="23"/>
      </w:r>
      <w:r w:rsidRPr="00716684">
        <w:t xml:space="preserve">, unter ihnen etwa: </w:t>
      </w:r>
    </w:p>
    <w:p w14:paraId="41E4A0D0" w14:textId="77777777" w:rsidR="00716684" w:rsidRPr="00716684" w:rsidRDefault="00716684" w:rsidP="004018AC">
      <w:pPr>
        <w:numPr>
          <w:ilvl w:val="0"/>
          <w:numId w:val="7"/>
        </w:numPr>
        <w:spacing w:before="120" w:after="120" w:line="259" w:lineRule="auto"/>
        <w:ind w:left="714" w:hanging="357"/>
        <w:jc w:val="both"/>
      </w:pPr>
      <w:r w:rsidRPr="00716684">
        <w:lastRenderedPageBreak/>
        <w:t>Personen, die im AHV-Alter z.B. einen Hirnschlag erleiden, an MS erkranken oder einen Unfall hatten und anschliessend auf Hilfsmittel der AHV (z.B. Rollstuhl) angewiesen sind oder Personen, die erst im AHV-Alter erblinden</w:t>
      </w:r>
    </w:p>
    <w:p w14:paraId="7AFA204E" w14:textId="77777777" w:rsidR="00716684" w:rsidRPr="00716684" w:rsidRDefault="00716684" w:rsidP="004018AC">
      <w:pPr>
        <w:numPr>
          <w:ilvl w:val="0"/>
          <w:numId w:val="7"/>
        </w:numPr>
        <w:spacing w:before="120" w:after="120" w:line="259" w:lineRule="auto"/>
        <w:ind w:left="714" w:hanging="357"/>
        <w:jc w:val="both"/>
      </w:pPr>
      <w:r w:rsidRPr="00716684">
        <w:t>Personen mit Dyslexie</w:t>
      </w:r>
    </w:p>
    <w:p w14:paraId="68B63AE2" w14:textId="77777777" w:rsidR="00716684" w:rsidRPr="00716684" w:rsidRDefault="00716684" w:rsidP="004018AC">
      <w:pPr>
        <w:numPr>
          <w:ilvl w:val="0"/>
          <w:numId w:val="7"/>
        </w:numPr>
        <w:spacing w:before="120" w:after="120" w:line="259" w:lineRule="auto"/>
        <w:ind w:left="714" w:hanging="357"/>
        <w:jc w:val="both"/>
      </w:pPr>
      <w:r w:rsidRPr="00716684">
        <w:t xml:space="preserve">Viele Personen mit ADHS </w:t>
      </w:r>
    </w:p>
    <w:p w14:paraId="31FDD555" w14:textId="77777777" w:rsidR="00716684" w:rsidRPr="00716684" w:rsidRDefault="00716684" w:rsidP="004018AC">
      <w:pPr>
        <w:numPr>
          <w:ilvl w:val="0"/>
          <w:numId w:val="7"/>
        </w:numPr>
        <w:spacing w:before="120" w:after="120" w:line="259" w:lineRule="auto"/>
        <w:ind w:left="714" w:hanging="357"/>
        <w:jc w:val="both"/>
      </w:pPr>
      <w:r w:rsidRPr="00716684">
        <w:t>Personen mit einer psychischen Beeinträchtigung, die dank psychiatrisch-psychotherapeutischer Behandlung voll arbeitsfähig sind</w:t>
      </w:r>
    </w:p>
    <w:p w14:paraId="6423C503" w14:textId="3B69865D" w:rsidR="00A679BD" w:rsidRPr="00A679BD" w:rsidRDefault="00A679BD" w:rsidP="004018AC">
      <w:pPr>
        <w:pStyle w:val="Textkrper"/>
        <w:spacing w:before="240" w:after="240"/>
        <w:rPr>
          <w:rFonts w:ascii="Arial" w:hAnsi="Arial" w:cs="Arial"/>
          <w:b/>
          <w:lang w:eastAsia="de-CH"/>
        </w:rPr>
      </w:pPr>
      <w:bookmarkStart w:id="32" w:name="_Ref161567734"/>
      <w:bookmarkStart w:id="33" w:name="_Toc210057840"/>
      <w:r w:rsidRPr="00A679BD">
        <w:rPr>
          <w:rFonts w:ascii="Arial" w:hAnsi="Arial" w:cs="Arial"/>
          <w:b/>
          <w:lang w:eastAsia="de-CH"/>
        </w:rPr>
        <w:t xml:space="preserve">Wir fordern </w:t>
      </w:r>
      <w:r w:rsidRPr="00A679BD">
        <w:rPr>
          <w:rFonts w:ascii="Arial" w:hAnsi="Arial" w:cs="Arial"/>
          <w:b/>
          <w:bCs/>
          <w:lang w:eastAsia="de-CH"/>
        </w:rPr>
        <w:t>daher:</w:t>
      </w:r>
    </w:p>
    <w:p w14:paraId="4B49E280" w14:textId="77777777" w:rsidR="00A679BD" w:rsidRPr="00A679BD" w:rsidRDefault="00A679BD" w:rsidP="004C6A28">
      <w:pPr>
        <w:pStyle w:val="Textkrper"/>
        <w:numPr>
          <w:ilvl w:val="0"/>
          <w:numId w:val="19"/>
        </w:numPr>
        <w:pBdr>
          <w:top w:val="single" w:sz="4" w:space="1" w:color="auto"/>
          <w:left w:val="single" w:sz="4" w:space="4" w:color="auto"/>
          <w:bottom w:val="single" w:sz="4" w:space="1" w:color="auto"/>
          <w:right w:val="single" w:sz="4" w:space="4" w:color="auto"/>
        </w:pBdr>
        <w:shd w:val="clear" w:color="auto" w:fill="E5DFEC" w:themeFill="accent4" w:themeFillTint="33"/>
        <w:overflowPunct/>
        <w:autoSpaceDE/>
        <w:autoSpaceDN/>
        <w:adjustRightInd/>
        <w:spacing w:before="240" w:after="240" w:line="280" w:lineRule="exact"/>
        <w:ind w:left="284" w:hanging="284"/>
        <w:jc w:val="both"/>
        <w:textAlignment w:val="auto"/>
        <w:rPr>
          <w:rFonts w:ascii="Arial" w:hAnsi="Arial" w:cs="Arial"/>
          <w:b/>
          <w:lang w:eastAsia="de-CH"/>
        </w:rPr>
      </w:pPr>
      <w:r w:rsidRPr="00A679BD">
        <w:rPr>
          <w:rFonts w:ascii="Arial" w:hAnsi="Arial" w:cs="Arial"/>
          <w:b/>
          <w:lang w:eastAsia="de-CH"/>
        </w:rPr>
        <w:t xml:space="preserve">Ein Inklusionsgesetz des Bundes muss zwingend auch diejenigen </w:t>
      </w:r>
      <w:r w:rsidRPr="00A679BD">
        <w:rPr>
          <w:rFonts w:ascii="Arial" w:hAnsi="Arial" w:cs="Arial"/>
          <w:b/>
          <w:bCs/>
          <w:lang w:eastAsia="de-CH"/>
        </w:rPr>
        <w:t>inhaltlichen</w:t>
      </w:r>
      <w:r w:rsidRPr="00A679BD">
        <w:rPr>
          <w:rFonts w:ascii="Arial" w:hAnsi="Arial" w:cs="Arial"/>
          <w:b/>
          <w:lang w:eastAsia="de-CH"/>
        </w:rPr>
        <w:t xml:space="preserve"> und organisatorischen Querschnittsbestimmungen </w:t>
      </w:r>
      <w:r w:rsidRPr="00A679BD">
        <w:rPr>
          <w:rFonts w:ascii="Arial" w:hAnsi="Arial" w:cs="Arial"/>
          <w:b/>
          <w:bCs/>
          <w:lang w:eastAsia="de-CH"/>
        </w:rPr>
        <w:t>enthalten</w:t>
      </w:r>
      <w:r w:rsidRPr="00A679BD">
        <w:rPr>
          <w:rFonts w:ascii="Arial" w:hAnsi="Arial" w:cs="Arial"/>
          <w:b/>
          <w:lang w:eastAsia="de-CH"/>
        </w:rPr>
        <w:t xml:space="preserve">, die zur kontinuierlichen Umsetzung der </w:t>
      </w:r>
      <w:r w:rsidRPr="00A679BD">
        <w:rPr>
          <w:rFonts w:ascii="Arial" w:hAnsi="Arial" w:cs="Arial"/>
          <w:b/>
          <w:bCs/>
          <w:lang w:eastAsia="de-CH"/>
        </w:rPr>
        <w:t>BRK erforderlich sind.</w:t>
      </w:r>
      <w:r w:rsidRPr="00A679BD">
        <w:rPr>
          <w:rFonts w:ascii="Arial" w:hAnsi="Arial" w:cs="Arial"/>
          <w:b/>
          <w:lang w:eastAsia="de-CH"/>
        </w:rPr>
        <w:t xml:space="preserve"> Es muss neben dem Bereich Wohnen zudem auch Bestimmungen enthalten, welche die Weichen stellen für den Zugang von Menschen mit Behinderungen zur Assistenz sowie ihre Inklusion in den Bereichen Bildung und Arbeit</w:t>
      </w:r>
      <w:r w:rsidRPr="00A679BD">
        <w:rPr>
          <w:rFonts w:ascii="Arial" w:hAnsi="Arial" w:cs="Arial"/>
          <w:b/>
          <w:bCs/>
          <w:lang w:eastAsia="de-CH"/>
        </w:rPr>
        <w:t xml:space="preserve">. </w:t>
      </w:r>
    </w:p>
    <w:p w14:paraId="6C831D3E" w14:textId="77777777" w:rsidR="00A679BD" w:rsidRPr="00A679BD" w:rsidRDefault="00A679BD" w:rsidP="004C6A28">
      <w:pPr>
        <w:pStyle w:val="Textkrper"/>
        <w:numPr>
          <w:ilvl w:val="0"/>
          <w:numId w:val="19"/>
        </w:numPr>
        <w:pBdr>
          <w:top w:val="single" w:sz="4" w:space="1" w:color="auto"/>
          <w:left w:val="single" w:sz="4" w:space="4" w:color="auto"/>
          <w:bottom w:val="single" w:sz="4" w:space="1" w:color="auto"/>
          <w:right w:val="single" w:sz="4" w:space="4" w:color="auto"/>
        </w:pBdr>
        <w:shd w:val="clear" w:color="auto" w:fill="E5DFEC" w:themeFill="accent4" w:themeFillTint="33"/>
        <w:overflowPunct/>
        <w:autoSpaceDE/>
        <w:autoSpaceDN/>
        <w:adjustRightInd/>
        <w:spacing w:before="240" w:after="240" w:line="280" w:lineRule="exact"/>
        <w:ind w:left="284" w:hanging="284"/>
        <w:jc w:val="both"/>
        <w:textAlignment w:val="auto"/>
        <w:rPr>
          <w:rFonts w:ascii="Arial" w:hAnsi="Arial" w:cs="Arial"/>
          <w:b/>
          <w:bCs/>
          <w:lang w:eastAsia="de-CH"/>
        </w:rPr>
      </w:pPr>
      <w:r w:rsidRPr="00A679BD">
        <w:rPr>
          <w:rFonts w:ascii="Arial" w:hAnsi="Arial" w:cs="Arial"/>
          <w:b/>
          <w:bCs/>
          <w:lang w:eastAsia="de-CH"/>
        </w:rPr>
        <w:t>Ein Inklusionsgesetz des Bundes muss zwingend für alle Menschen mit Behinderungen im Sinne von BRK, BV und BehiG gelten, nicht nur für «Invalide» gemäss Art. 112b BV. Dies gilt insbesondere für seine inhaltlichen und organisatorischen Querschnittsbestimmungen. Eine Einschränkung des persönlichen Geltungsbereichs könnte hingegen, bei Bedarf und unter Berücksichtigung der BRK-Verpflichtungen, bereichsspezifisch vorgenommen werden.</w:t>
      </w:r>
      <w:r w:rsidRPr="00A679BD">
        <w:rPr>
          <w:rStyle w:val="Funotenzeichen"/>
          <w:rFonts w:ascii="Arial" w:hAnsi="Arial" w:cs="Arial"/>
          <w:lang w:eastAsia="de-CH"/>
        </w:rPr>
        <w:footnoteReference w:id="24"/>
      </w:r>
      <w:r w:rsidRPr="00A679BD">
        <w:rPr>
          <w:rFonts w:ascii="Arial" w:hAnsi="Arial" w:cs="Arial"/>
          <w:b/>
          <w:bCs/>
          <w:lang w:eastAsia="de-CH"/>
        </w:rPr>
        <w:t xml:space="preserve"> </w:t>
      </w:r>
    </w:p>
    <w:p w14:paraId="4AE8E369" w14:textId="77777777" w:rsidR="00716684" w:rsidRPr="003B09BD" w:rsidRDefault="00716684" w:rsidP="003B09BD">
      <w:pPr>
        <w:pStyle w:val="berschrift2"/>
        <w:spacing w:before="480"/>
        <w:rPr>
          <w:rFonts w:ascii="Arial" w:hAnsi="Arial" w:cs="Arial"/>
          <w:b/>
          <w:color w:val="auto"/>
          <w:sz w:val="24"/>
          <w:szCs w:val="24"/>
        </w:rPr>
      </w:pPr>
      <w:bookmarkStart w:id="34" w:name="_Toc210903220"/>
      <w:r w:rsidRPr="003B09BD">
        <w:rPr>
          <w:rFonts w:ascii="Arial" w:hAnsi="Arial" w:cs="Arial"/>
          <w:b/>
          <w:color w:val="auto"/>
          <w:sz w:val="24"/>
          <w:szCs w:val="24"/>
        </w:rPr>
        <w:t>3.3 Zu wenig verpflichtend und präzis</w:t>
      </w:r>
      <w:bookmarkEnd w:id="32"/>
      <w:bookmarkEnd w:id="33"/>
      <w:bookmarkEnd w:id="34"/>
    </w:p>
    <w:p w14:paraId="636908C9" w14:textId="77777777" w:rsidR="00716684" w:rsidRPr="00716684" w:rsidRDefault="00716684" w:rsidP="00716684">
      <w:pPr>
        <w:spacing w:before="240" w:after="240" w:line="259" w:lineRule="auto"/>
        <w:jc w:val="both"/>
      </w:pPr>
      <w:r w:rsidRPr="00716684">
        <w:t>In seiner Medienmeldung vom 25.6.2025 hielt der Bundesrat fest, dass er die Kernanliegen der Inklusions-Initiative unterstützt. Weil aber die vorgeschlagenen Verfassungsänderungen nicht zu «direkten Verbesserungen im Lebensalltag der betroffenen Menschen» führen würden, schlägt er auf Ebene des Gesetzes Massnahmen vor, mit denen die «Anliegen der Initiative gezielter und rascher umgesetzt werden» können.</w:t>
      </w:r>
    </w:p>
    <w:p w14:paraId="4F82F876" w14:textId="3FC2F654" w:rsidR="00716684" w:rsidRPr="00716684" w:rsidRDefault="00716684" w:rsidP="00716684">
      <w:pPr>
        <w:spacing w:before="240" w:after="240" w:line="259" w:lineRule="auto"/>
        <w:jc w:val="both"/>
      </w:pPr>
      <w:r w:rsidRPr="00716684">
        <w:t xml:space="preserve">Es bleibt </w:t>
      </w:r>
      <w:r w:rsidRPr="00716684">
        <w:rPr>
          <w:b/>
        </w:rPr>
        <w:t>schleierhaft, welche Gesetzesbestimmungen des VE-</w:t>
      </w:r>
      <w:proofErr w:type="spellStart"/>
      <w:r w:rsidRPr="00716684">
        <w:rPr>
          <w:b/>
        </w:rPr>
        <w:t>InG</w:t>
      </w:r>
      <w:proofErr w:type="spellEnd"/>
      <w:r w:rsidRPr="00716684">
        <w:rPr>
          <w:b/>
        </w:rPr>
        <w:t xml:space="preserve"> zu den direkten Verbesserungen im Lebensalltag der Betroffenen führen sollen</w:t>
      </w:r>
      <w:r w:rsidRPr="00716684">
        <w:t xml:space="preserve">, welche die Inklusions-Initiative angeblich nicht zur Folge hätte. Vielmehr fällt der Vorentwurf sowohl hinsichtlich der </w:t>
      </w:r>
      <w:r w:rsidRPr="00716684">
        <w:rPr>
          <w:b/>
        </w:rPr>
        <w:t>Unverbindlichkeit</w:t>
      </w:r>
      <w:r w:rsidRPr="00716684">
        <w:t xml:space="preserve"> als auch der </w:t>
      </w:r>
      <w:r w:rsidRPr="00716684">
        <w:rPr>
          <w:b/>
        </w:rPr>
        <w:t>mangelnden Präzision</w:t>
      </w:r>
      <w:r w:rsidRPr="00716684">
        <w:t xml:space="preserve"> seiner ausschliesslich programmatischen Bestimmungen</w:t>
      </w:r>
      <w:r w:rsidRPr="00716684">
        <w:rPr>
          <w:vertAlign w:val="superscript"/>
        </w:rPr>
        <w:footnoteReference w:id="25"/>
      </w:r>
      <w:r w:rsidRPr="00716684">
        <w:t xml:space="preserve"> auf. Letztlich wiederholt der VE-</w:t>
      </w:r>
      <w:proofErr w:type="spellStart"/>
      <w:r w:rsidRPr="00716684">
        <w:t>InG</w:t>
      </w:r>
      <w:proofErr w:type="spellEnd"/>
      <w:r w:rsidRPr="00716684">
        <w:t xml:space="preserve"> höchst punktuell Gesetzgebungsaufträge, die bereits vor 25 Jahren (Art. 8 Abs. 4 BV). bzw. vor 11 Jahren (BRK) an Bund und Kantone erteilt worden sind. Er bleibt dabei derart abstrakt, dass der Bundesrat darauf gestützt keine Verordnung erlassen könnte. In einem ersten Schritt müssten weitere gesetzliche Grundlagen geschaffen werden. Dies wirft die Frage auf: Weshalb werden nicht jetzt, direkt im VE-</w:t>
      </w:r>
      <w:proofErr w:type="spellStart"/>
      <w:r w:rsidRPr="00716684">
        <w:t>InG</w:t>
      </w:r>
      <w:proofErr w:type="spellEnd"/>
      <w:r w:rsidRPr="00716684">
        <w:t xml:space="preserve">, griffige </w:t>
      </w:r>
      <w:r w:rsidRPr="00716684">
        <w:lastRenderedPageBreak/>
        <w:t>Bestimmungen verankert? Gerade weil die erwähnten Gesetzgebungsaufträge in BV und BRK bis heute nicht genügend umgesetzt worden sind, haben Menschen mit Behinderungen und ihre Organisationen die Inklusion-Initiative eingereicht. Ein Gesetz, welches sich weitgehend darauf beschränkt, die Aufträge auf einer zu abstrakten Ebene zu wiederholen, kann keine Antwort darauf sein.</w:t>
      </w:r>
    </w:p>
    <w:p w14:paraId="541BA83A" w14:textId="77777777" w:rsidR="00F729BA" w:rsidRDefault="00716684" w:rsidP="00F729BA">
      <w:pPr>
        <w:spacing w:before="240" w:after="240" w:line="259" w:lineRule="auto"/>
        <w:jc w:val="both"/>
      </w:pPr>
      <w:r w:rsidRPr="00716684">
        <w:t>Hinzukommen Probleme der Gesetzessystematik: Bereits bei der Gliederung der zwei ersten Abschnitte und den gewählten Begrifflichkeiten stiftet der Vorentwurf mehr Verwirrung, als es Klarheit bringt. Dies beginnt damit, dass die Regelungen zu Zweck (Art. 1 VE-</w:t>
      </w:r>
      <w:proofErr w:type="spellStart"/>
      <w:r w:rsidRPr="00716684">
        <w:t>InG</w:t>
      </w:r>
      <w:proofErr w:type="spellEnd"/>
      <w:r w:rsidRPr="00716684">
        <w:t>), Gegenstand (Art. 2 VE-</w:t>
      </w:r>
      <w:proofErr w:type="spellStart"/>
      <w:r w:rsidRPr="00716684">
        <w:t>InG</w:t>
      </w:r>
      <w:proofErr w:type="spellEnd"/>
      <w:r w:rsidRPr="00716684">
        <w:t>) und Zielen der Inklusion (Art. 3 VE-</w:t>
      </w:r>
      <w:proofErr w:type="spellStart"/>
      <w:r w:rsidRPr="00716684">
        <w:t>InG</w:t>
      </w:r>
      <w:proofErr w:type="spellEnd"/>
      <w:r w:rsidRPr="00716684">
        <w:t>) inhaltlich überlappende Aussagen enthalten. So wiederholt Art. 1 Abs. 2 VE-</w:t>
      </w:r>
      <w:proofErr w:type="spellStart"/>
      <w:r w:rsidRPr="00716684">
        <w:t>InG</w:t>
      </w:r>
      <w:proofErr w:type="spellEnd"/>
      <w:r w:rsidRPr="00716684">
        <w:t xml:space="preserve"> lediglich dessen Abs. 1, ohne etwas Neues zu regeln oder zu konkretisieren, mit dem Ergebnis der folgenden Aussage: Zum Zweck der </w:t>
      </w:r>
      <w:r w:rsidRPr="00716684">
        <w:rPr>
          <w:i/>
        </w:rPr>
        <w:t>Förderung der unabhängigen Lebensführung</w:t>
      </w:r>
      <w:r w:rsidRPr="00716684">
        <w:t xml:space="preserve"> «sieht das Gesetz vor», </w:t>
      </w:r>
      <w:proofErr w:type="spellStart"/>
      <w:r w:rsidRPr="00716684">
        <w:t>dass</w:t>
      </w:r>
      <w:proofErr w:type="spellEnd"/>
      <w:r w:rsidRPr="00716684">
        <w:t xml:space="preserve"> betroffene Personen </w:t>
      </w:r>
      <w:r w:rsidRPr="00716684">
        <w:rPr>
          <w:i/>
        </w:rPr>
        <w:t>ihre Lebensführung selbst wählen</w:t>
      </w:r>
      <w:r w:rsidRPr="00716684">
        <w:t xml:space="preserve"> </w:t>
      </w:r>
      <w:r w:rsidRPr="00716684">
        <w:rPr>
          <w:i/>
        </w:rPr>
        <w:t>und bestimmen</w:t>
      </w:r>
      <w:r w:rsidRPr="00716684">
        <w:t xml:space="preserve"> können. Dabei hilft es auch nicht, dass Art. 2 VE-</w:t>
      </w:r>
      <w:proofErr w:type="spellStart"/>
      <w:r w:rsidRPr="00716684">
        <w:t>InG</w:t>
      </w:r>
      <w:proofErr w:type="spellEnd"/>
      <w:r w:rsidRPr="00716684">
        <w:t xml:space="preserve"> Zielaussagen und Art. 3 VE-</w:t>
      </w:r>
      <w:proofErr w:type="spellStart"/>
      <w:r w:rsidRPr="00716684">
        <w:t>InG</w:t>
      </w:r>
      <w:proofErr w:type="spellEnd"/>
      <w:r w:rsidRPr="00716684">
        <w:t xml:space="preserve"> dann schliesslich eine eigene Aufzählung von (zusätzlichen) Inklusionszielen enthält. Hinter der Formulierung «sieht das Gesetz vor» in Art. 1 Abs. 2 VE-</w:t>
      </w:r>
      <w:proofErr w:type="spellStart"/>
      <w:r w:rsidRPr="00716684">
        <w:t>InG</w:t>
      </w:r>
      <w:proofErr w:type="spellEnd"/>
      <w:r w:rsidRPr="00716684">
        <w:t xml:space="preserve"> steht in Wirklichkeit wenig. Art. 4 VE-</w:t>
      </w:r>
      <w:proofErr w:type="spellStart"/>
      <w:r w:rsidRPr="00716684">
        <w:t>InG</w:t>
      </w:r>
      <w:proofErr w:type="spellEnd"/>
      <w:r w:rsidRPr="00716684">
        <w:rPr>
          <w:vertAlign w:val="superscript"/>
        </w:rPr>
        <w:footnoteReference w:id="26"/>
      </w:r>
      <w:r w:rsidRPr="00716684">
        <w:t xml:space="preserve"> mit dem Titel «Allgemeine Grundsätze» erstreckt sich als Teil des 3. Abschnitts zum Wohnen nicht auf das Ziel der unabhängigen Lebensführung insgesamt, sondern beschränkt sich darauf, Bund und Kantone zu verpflichten, Art. 19 BRK mit Bezug auf das Wohnen umzusetzen. Die gesetzestechnisch unübliche und verwirrende Gesamtkonstruktion untergräbt zusätzlich die normative Tragweite der einzelnen Bestimmungen (bspw. von Art. 11 Abs. 1 VE-</w:t>
      </w:r>
      <w:proofErr w:type="spellStart"/>
      <w:r w:rsidRPr="00716684">
        <w:t>InG</w:t>
      </w:r>
      <w:proofErr w:type="spellEnd"/>
      <w:r w:rsidRPr="00716684">
        <w:rPr>
          <w:vertAlign w:val="superscript"/>
        </w:rPr>
        <w:footnoteReference w:id="27"/>
      </w:r>
      <w:r w:rsidRPr="00716684">
        <w:t>).</w:t>
      </w:r>
      <w:bookmarkStart w:id="35" w:name="_Ref202175115"/>
      <w:bookmarkStart w:id="36" w:name="_Toc210057841"/>
      <w:bookmarkStart w:id="37" w:name="_Toc161510793"/>
      <w:bookmarkStart w:id="38" w:name="_Ref161557885"/>
      <w:bookmarkStart w:id="39" w:name="_Ref161601249"/>
      <w:bookmarkStart w:id="40" w:name="_Ref161642995"/>
    </w:p>
    <w:p w14:paraId="5AF2D38B" w14:textId="587D25B0" w:rsidR="00A679BD" w:rsidRPr="00A679BD" w:rsidRDefault="00A679BD" w:rsidP="00F729BA">
      <w:pPr>
        <w:spacing w:before="240" w:after="240" w:line="259" w:lineRule="auto"/>
        <w:jc w:val="both"/>
        <w:rPr>
          <w:rFonts w:cs="Arial"/>
          <w:b/>
          <w:bCs/>
        </w:rPr>
      </w:pPr>
      <w:r w:rsidRPr="00A679BD">
        <w:rPr>
          <w:rFonts w:cs="Arial"/>
          <w:b/>
          <w:bCs/>
        </w:rPr>
        <w:t xml:space="preserve">Wir fordern daher: </w:t>
      </w:r>
    </w:p>
    <w:p w14:paraId="30AA5E07" w14:textId="77777777" w:rsidR="00A679BD" w:rsidRPr="00A679BD" w:rsidRDefault="00A679BD" w:rsidP="004C6A28">
      <w:pPr>
        <w:pStyle w:val="Textkrper"/>
        <w:numPr>
          <w:ilvl w:val="0"/>
          <w:numId w:val="20"/>
        </w:numPr>
        <w:pBdr>
          <w:top w:val="single" w:sz="4" w:space="1" w:color="auto"/>
          <w:left w:val="single" w:sz="4" w:space="4" w:color="auto"/>
          <w:bottom w:val="single" w:sz="4" w:space="1" w:color="auto"/>
          <w:right w:val="single" w:sz="4" w:space="4" w:color="auto"/>
        </w:pBdr>
        <w:shd w:val="clear" w:color="auto" w:fill="E5DFEC" w:themeFill="accent4" w:themeFillTint="33"/>
        <w:overflowPunct/>
        <w:autoSpaceDE/>
        <w:autoSpaceDN/>
        <w:adjustRightInd/>
        <w:spacing w:before="240" w:after="240" w:line="280" w:lineRule="exact"/>
        <w:ind w:left="284" w:hanging="284"/>
        <w:jc w:val="both"/>
        <w:textAlignment w:val="auto"/>
        <w:rPr>
          <w:rFonts w:ascii="Arial" w:hAnsi="Arial" w:cs="Arial"/>
          <w:b/>
          <w:bCs/>
        </w:rPr>
      </w:pPr>
      <w:r w:rsidRPr="00A679BD">
        <w:rPr>
          <w:rFonts w:ascii="Arial" w:hAnsi="Arial" w:cs="Arial"/>
          <w:b/>
          <w:bCs/>
        </w:rPr>
        <w:t>Der VE-</w:t>
      </w:r>
      <w:proofErr w:type="spellStart"/>
      <w:r w:rsidRPr="00A679BD">
        <w:rPr>
          <w:rFonts w:ascii="Arial" w:hAnsi="Arial" w:cs="Arial"/>
          <w:b/>
          <w:bCs/>
        </w:rPr>
        <w:t>InG</w:t>
      </w:r>
      <w:proofErr w:type="spellEnd"/>
      <w:r w:rsidRPr="00A679BD">
        <w:rPr>
          <w:rFonts w:ascii="Arial" w:hAnsi="Arial" w:cs="Arial"/>
          <w:b/>
          <w:bCs/>
        </w:rPr>
        <w:t xml:space="preserve"> ist bezüglich Systematik und Begrifflichkeiten grundlegend zu überarbeiten. </w:t>
      </w:r>
    </w:p>
    <w:p w14:paraId="12E606EA" w14:textId="77777777" w:rsidR="00A679BD" w:rsidRPr="00A679BD" w:rsidRDefault="00A679BD" w:rsidP="004C6A28">
      <w:pPr>
        <w:pStyle w:val="Textkrper"/>
        <w:numPr>
          <w:ilvl w:val="0"/>
          <w:numId w:val="20"/>
        </w:numPr>
        <w:pBdr>
          <w:top w:val="single" w:sz="4" w:space="1" w:color="auto"/>
          <w:left w:val="single" w:sz="4" w:space="4" w:color="auto"/>
          <w:bottom w:val="single" w:sz="4" w:space="1" w:color="auto"/>
          <w:right w:val="single" w:sz="4" w:space="4" w:color="auto"/>
        </w:pBdr>
        <w:shd w:val="clear" w:color="auto" w:fill="E5DFEC" w:themeFill="accent4" w:themeFillTint="33"/>
        <w:overflowPunct/>
        <w:autoSpaceDE/>
        <w:autoSpaceDN/>
        <w:adjustRightInd/>
        <w:spacing w:before="240" w:after="240" w:line="280" w:lineRule="exact"/>
        <w:ind w:left="284" w:hanging="284"/>
        <w:jc w:val="both"/>
        <w:textAlignment w:val="auto"/>
        <w:rPr>
          <w:rFonts w:ascii="Arial" w:hAnsi="Arial" w:cs="Arial"/>
          <w:b/>
        </w:rPr>
      </w:pPr>
      <w:r w:rsidRPr="00A679BD">
        <w:rPr>
          <w:rFonts w:ascii="Arial" w:hAnsi="Arial" w:cs="Arial"/>
          <w:b/>
          <w:bCs/>
        </w:rPr>
        <w:t>Die Massnahmen, zu deren Umsetzung Bund und Kantone verpflichtet werden, müssen so präzis formuliert sein, dass der Bundesrat gestützt darauf die notwendigen Verordnungen erlassen kann und die Kantone die nötige Klarheit haben, um ihrerseits tätig zu werden.</w:t>
      </w:r>
    </w:p>
    <w:p w14:paraId="5B222E62" w14:textId="77777777" w:rsidR="00716684" w:rsidRPr="003B09BD" w:rsidRDefault="00716684" w:rsidP="003B09BD">
      <w:pPr>
        <w:pStyle w:val="berschrift2"/>
        <w:spacing w:before="480"/>
        <w:rPr>
          <w:rFonts w:ascii="Arial" w:hAnsi="Arial" w:cs="Arial"/>
          <w:b/>
          <w:color w:val="auto"/>
          <w:sz w:val="24"/>
          <w:szCs w:val="24"/>
        </w:rPr>
      </w:pPr>
      <w:bookmarkStart w:id="41" w:name="_Toc210903221"/>
      <w:r w:rsidRPr="003B09BD">
        <w:rPr>
          <w:rFonts w:ascii="Arial" w:hAnsi="Arial" w:cs="Arial"/>
          <w:b/>
          <w:color w:val="auto"/>
          <w:sz w:val="24"/>
          <w:szCs w:val="24"/>
        </w:rPr>
        <w:t>3.4 Fehlen von Rechtsansprüchen</w:t>
      </w:r>
      <w:bookmarkEnd w:id="35"/>
      <w:bookmarkEnd w:id="36"/>
      <w:bookmarkEnd w:id="41"/>
    </w:p>
    <w:p w14:paraId="495A4A3B" w14:textId="5C16A56B" w:rsidR="00716684" w:rsidRPr="00716684" w:rsidRDefault="00716684" w:rsidP="00716684">
      <w:pPr>
        <w:spacing w:before="240" w:after="240" w:line="259" w:lineRule="auto"/>
        <w:jc w:val="both"/>
      </w:pPr>
      <w:r w:rsidRPr="00716684">
        <w:t xml:space="preserve">Seit Inkrafttreten von Art. 8 Abs. 4 BV vor einem Vierteljahrhundert und des BehiG wenige Jahre später hat sich gezeigt, dass die Umsetzung der Rechte von Menschen mit Behinderungen kein Selbstläufer ist. Dies selbst dann, wenn, wie im Bereich des öffentlichen Verkehrs, zwar lange, aber verbindliche Umsetzungsfristen vorgesehen werden. Die für vereinzelte Bereiche des BehiG geltenden Rechtsansprüche von </w:t>
      </w:r>
      <w:r w:rsidRPr="00716684">
        <w:lastRenderedPageBreak/>
        <w:t>Menschen mit Behinderungen (Art. 7 und 8 BehiG)</w:t>
      </w:r>
      <w:r w:rsidRPr="00716684">
        <w:rPr>
          <w:vertAlign w:val="superscript"/>
        </w:rPr>
        <w:footnoteReference w:id="28"/>
      </w:r>
      <w:r w:rsidRPr="00716684">
        <w:t xml:space="preserve"> und Beschwerderechte ihrer Organisationen (Art. 9 BehiG) haben sich deshalb als unabdingbares Instrument zur Förderung und Überprüfung der Gesetzesumsetzung erwiesen.</w:t>
      </w:r>
      <w:r w:rsidRPr="00716684">
        <w:rPr>
          <w:vertAlign w:val="superscript"/>
        </w:rPr>
        <w:footnoteReference w:id="29"/>
      </w:r>
      <w:r w:rsidRPr="00716684">
        <w:t xml:space="preserve"> Entsprechend hat der BRK-Ausschuss die Schweiz dazu angehalten, den rechtlichen Schutz vor Diskriminierung zu stärken.</w:t>
      </w:r>
      <w:r w:rsidRPr="00716684">
        <w:rPr>
          <w:vertAlign w:val="superscript"/>
          <w:lang w:val="fr-FR"/>
        </w:rPr>
        <w:footnoteReference w:id="30"/>
      </w:r>
      <w:r w:rsidRPr="00716684">
        <w:rPr>
          <w:lang w:val="fr-FR"/>
        </w:rPr>
        <w:t xml:space="preserve"> </w:t>
      </w:r>
      <w:r w:rsidRPr="00716684">
        <w:t>Bereits mehrere Kantone haben solche Bestimmungen in ihre Gesetzgebung zur Umsetzung der BR</w:t>
      </w:r>
      <w:r w:rsidR="008F25CA">
        <w:t>K</w:t>
      </w:r>
      <w:r w:rsidRPr="00716684">
        <w:t xml:space="preserve"> aufgenommen.</w:t>
      </w:r>
      <w:r w:rsidRPr="00716684">
        <w:rPr>
          <w:vertAlign w:val="superscript"/>
          <w:lang w:val="fr-FR"/>
        </w:rPr>
        <w:footnoteReference w:id="31"/>
      </w:r>
    </w:p>
    <w:p w14:paraId="27DE911A" w14:textId="43164AAA" w:rsidR="00716684" w:rsidRPr="00716684" w:rsidRDefault="00716684" w:rsidP="00716684">
      <w:pPr>
        <w:spacing w:before="240" w:after="240" w:line="259" w:lineRule="auto"/>
        <w:jc w:val="both"/>
      </w:pPr>
      <w:r w:rsidRPr="00716684">
        <w:t xml:space="preserve">Vor dem Hintergrund der bis heute höchst zögerlichen, im besten Fall punktuellen, nicht koordinierten Umsetzung der rechtlichen Verpflichtungen zur Gleichstellung von Menschen mit Behinderungen stellt die </w:t>
      </w:r>
      <w:r w:rsidRPr="00716684">
        <w:rPr>
          <w:b/>
        </w:rPr>
        <w:t xml:space="preserve">Gewährleistung von Rechtsansprüche </w:t>
      </w:r>
      <w:r w:rsidRPr="00716684">
        <w:t xml:space="preserve">ein </w:t>
      </w:r>
      <w:r w:rsidRPr="00716684">
        <w:rPr>
          <w:b/>
        </w:rPr>
        <w:t xml:space="preserve">Kerninhalt der Inklusions-Initiative </w:t>
      </w:r>
      <w:r w:rsidRPr="00716684">
        <w:t>dar: Art. 8a Abs. 1 der Inklusions-Initiative gibt Menschen mit Behinderungen im Rahmen der Verhältnismässigkeit einen Anspruch auf die für ihre rechtliche und tatsächliche Gleichstellung erforderlichen Unterstützungs- und Anpassungsmassnahmen, insbesondere auf personelle und technische Assistenz. Gemäss Abs. 2 haben Menschen mit Behinderungen zudem das Recht, ihren Wohnort und ihre Wohnform frei zu wählen sowie im Rahmen der Verhältnismässigkeit einen Anspruch auf die dafür erforderlichen Unterstützungs- und Anpassungsmassnahmen.</w:t>
      </w:r>
    </w:p>
    <w:p w14:paraId="207159DB" w14:textId="3E056298" w:rsidR="00F729BA" w:rsidRDefault="00716684" w:rsidP="00716684">
      <w:pPr>
        <w:spacing w:before="240" w:after="240" w:line="259" w:lineRule="auto"/>
        <w:jc w:val="both"/>
      </w:pPr>
      <w:r w:rsidRPr="00716684">
        <w:t>In seinen Erläuterungen, Ziff. 6.1.2, hält der Bundesrat ausdrücklich fest, dass es sich beim VE-</w:t>
      </w:r>
      <w:proofErr w:type="spellStart"/>
      <w:r w:rsidRPr="00716684">
        <w:t>InG</w:t>
      </w:r>
      <w:proofErr w:type="spellEnd"/>
      <w:r w:rsidRPr="00716684">
        <w:t xml:space="preserve"> um einen </w:t>
      </w:r>
      <w:r w:rsidRPr="00716684">
        <w:rPr>
          <w:i/>
          <w:iCs/>
        </w:rPr>
        <w:t>programmatischen</w:t>
      </w:r>
      <w:r w:rsidRPr="00716684">
        <w:t xml:space="preserve"> Rahmen für die Förderung der Inklusion von Menschen mit Behinderungen handelt. «Der vorgegebene Rahmen soll Bund und Kantone dabei unterstützen, die Massnahmen und Leistungen in ihren jeweiligen Zuständigkeitsbereichen so auszugestalten, dass sie den völkerrechtlichen Verpflichtungen der Schweiz Rechnung tragen.» Daraus folgt unmissverständlich, dass Menschen mit Behinderungen, die trotz dieses Rahmens weiterhin mit Einschränkungen ihrer Rechte konfrontiert sehen, gestützt auf den VE-</w:t>
      </w:r>
      <w:proofErr w:type="spellStart"/>
      <w:r w:rsidRPr="00716684">
        <w:t>InG</w:t>
      </w:r>
      <w:proofErr w:type="spellEnd"/>
      <w:r w:rsidRPr="00716684">
        <w:t xml:space="preserve"> keinerlei Rechtsansprüche geltend machen können.</w:t>
      </w:r>
    </w:p>
    <w:p w14:paraId="6FA431C4" w14:textId="77777777" w:rsidR="00F729BA" w:rsidRDefault="00F729BA">
      <w:r>
        <w:br w:type="page"/>
      </w:r>
    </w:p>
    <w:p w14:paraId="549C5BD7" w14:textId="77777777" w:rsidR="00A679BD" w:rsidRPr="00A679BD" w:rsidRDefault="00A679BD" w:rsidP="00A679BD">
      <w:pPr>
        <w:pStyle w:val="Textkrper"/>
        <w:spacing w:before="240" w:after="240"/>
        <w:rPr>
          <w:rFonts w:ascii="Arial" w:hAnsi="Arial" w:cs="Arial"/>
          <w:b/>
          <w:bCs/>
        </w:rPr>
      </w:pPr>
      <w:bookmarkStart w:id="42" w:name="_Ref202159394"/>
      <w:bookmarkStart w:id="43" w:name="_Ref202169745"/>
      <w:bookmarkStart w:id="44" w:name="_Ref202428502"/>
      <w:bookmarkStart w:id="45" w:name="_Ref202519288"/>
      <w:bookmarkStart w:id="46" w:name="_Ref202520940"/>
      <w:bookmarkStart w:id="47" w:name="_Toc210057842"/>
      <w:r w:rsidRPr="00A679BD">
        <w:rPr>
          <w:rFonts w:ascii="Arial" w:hAnsi="Arial" w:cs="Arial"/>
          <w:b/>
          <w:bCs/>
        </w:rPr>
        <w:lastRenderedPageBreak/>
        <w:t xml:space="preserve">Wir fordern daher: </w:t>
      </w:r>
    </w:p>
    <w:p w14:paraId="0D7C21FF" w14:textId="77777777" w:rsidR="00A679BD" w:rsidRPr="00A679BD" w:rsidRDefault="00A679BD" w:rsidP="004C6A28">
      <w:pPr>
        <w:pStyle w:val="Textkrper"/>
        <w:numPr>
          <w:ilvl w:val="0"/>
          <w:numId w:val="21"/>
        </w:numPr>
        <w:pBdr>
          <w:top w:val="single" w:sz="4" w:space="1" w:color="auto"/>
          <w:left w:val="single" w:sz="4" w:space="4" w:color="auto"/>
          <w:bottom w:val="single" w:sz="4" w:space="1" w:color="auto"/>
          <w:right w:val="single" w:sz="4" w:space="4" w:color="auto"/>
        </w:pBdr>
        <w:shd w:val="clear" w:color="auto" w:fill="E5DFEC" w:themeFill="accent4" w:themeFillTint="33"/>
        <w:overflowPunct/>
        <w:autoSpaceDE/>
        <w:autoSpaceDN/>
        <w:adjustRightInd/>
        <w:spacing w:before="240" w:after="240" w:line="280" w:lineRule="exact"/>
        <w:ind w:left="284" w:hanging="284"/>
        <w:jc w:val="both"/>
        <w:textAlignment w:val="auto"/>
        <w:rPr>
          <w:rFonts w:ascii="Arial" w:hAnsi="Arial" w:cs="Arial"/>
          <w:b/>
          <w:bCs/>
        </w:rPr>
      </w:pPr>
      <w:r w:rsidRPr="00A679BD">
        <w:rPr>
          <w:rFonts w:ascii="Arial" w:hAnsi="Arial" w:cs="Arial"/>
          <w:b/>
          <w:bCs/>
        </w:rPr>
        <w:t xml:space="preserve">Im </w:t>
      </w:r>
      <w:proofErr w:type="spellStart"/>
      <w:r w:rsidRPr="00A679BD">
        <w:rPr>
          <w:rFonts w:ascii="Arial" w:hAnsi="Arial" w:cs="Arial"/>
          <w:b/>
          <w:bCs/>
        </w:rPr>
        <w:t>InG</w:t>
      </w:r>
      <w:proofErr w:type="spellEnd"/>
      <w:r w:rsidRPr="00A679BD">
        <w:rPr>
          <w:rFonts w:ascii="Arial" w:hAnsi="Arial" w:cs="Arial"/>
          <w:b/>
          <w:bCs/>
        </w:rPr>
        <w:t xml:space="preserve"> sind – in Ergänzung zum BehiG – Rechtsansprüche von Menschen mit Behinderungen zu verankern, auf deren Grundlage die Rechtsdurchsetzung im Einzelfall eingefordert werden kann.</w:t>
      </w:r>
    </w:p>
    <w:p w14:paraId="6E30F3C6" w14:textId="77777777" w:rsidR="00A679BD" w:rsidRPr="00A679BD" w:rsidRDefault="00A679BD" w:rsidP="004C6A28">
      <w:pPr>
        <w:pStyle w:val="Textkrper"/>
        <w:numPr>
          <w:ilvl w:val="0"/>
          <w:numId w:val="21"/>
        </w:numPr>
        <w:pBdr>
          <w:top w:val="single" w:sz="4" w:space="1" w:color="auto"/>
          <w:left w:val="single" w:sz="4" w:space="4" w:color="auto"/>
          <w:bottom w:val="single" w:sz="4" w:space="1" w:color="auto"/>
          <w:right w:val="single" w:sz="4" w:space="4" w:color="auto"/>
        </w:pBdr>
        <w:shd w:val="clear" w:color="auto" w:fill="E5DFEC" w:themeFill="accent4" w:themeFillTint="33"/>
        <w:overflowPunct/>
        <w:autoSpaceDE/>
        <w:autoSpaceDN/>
        <w:adjustRightInd/>
        <w:spacing w:before="240" w:after="240" w:line="280" w:lineRule="exact"/>
        <w:ind w:left="284" w:hanging="284"/>
        <w:jc w:val="both"/>
        <w:textAlignment w:val="auto"/>
        <w:rPr>
          <w:rFonts w:ascii="Arial" w:hAnsi="Arial" w:cs="Arial"/>
          <w:b/>
          <w:bCs/>
        </w:rPr>
      </w:pPr>
      <w:r w:rsidRPr="00A679BD">
        <w:rPr>
          <w:rFonts w:ascii="Arial" w:hAnsi="Arial" w:cs="Arial"/>
          <w:b/>
          <w:bCs/>
        </w:rPr>
        <w:t>Weiter sind auch Bestimmungen zur Beweislasterleichterung, zum Klage- und Beschwerderecht von Verbänden sowie zur Unentgeltlichkeit des Verfahrens vorzusehen.</w:t>
      </w:r>
    </w:p>
    <w:p w14:paraId="66902085" w14:textId="77777777" w:rsidR="00716684" w:rsidRPr="00B01E62" w:rsidRDefault="00716684" w:rsidP="00B01E62">
      <w:pPr>
        <w:pStyle w:val="berschrift2"/>
        <w:spacing w:before="480"/>
        <w:rPr>
          <w:rFonts w:ascii="Arial" w:hAnsi="Arial" w:cs="Arial"/>
          <w:b/>
          <w:color w:val="auto"/>
          <w:sz w:val="24"/>
          <w:szCs w:val="24"/>
        </w:rPr>
      </w:pPr>
      <w:bookmarkStart w:id="48" w:name="_Toc210903222"/>
      <w:r w:rsidRPr="00B01E62">
        <w:rPr>
          <w:rFonts w:ascii="Arial" w:hAnsi="Arial" w:cs="Arial"/>
          <w:b/>
          <w:color w:val="auto"/>
          <w:sz w:val="24"/>
          <w:szCs w:val="24"/>
        </w:rPr>
        <w:t xml:space="preserve">3.5 Fehlen von organisatorischen Vorkehren </w:t>
      </w:r>
      <w:bookmarkEnd w:id="42"/>
      <w:bookmarkEnd w:id="43"/>
      <w:r w:rsidRPr="00B01E62">
        <w:rPr>
          <w:rFonts w:ascii="Arial" w:hAnsi="Arial" w:cs="Arial"/>
          <w:b/>
          <w:color w:val="auto"/>
          <w:sz w:val="24"/>
          <w:szCs w:val="24"/>
        </w:rPr>
        <w:t>zur Umsetzung</w:t>
      </w:r>
      <w:bookmarkEnd w:id="44"/>
      <w:r w:rsidRPr="00B01E62">
        <w:rPr>
          <w:rFonts w:ascii="Arial" w:hAnsi="Arial" w:cs="Arial"/>
          <w:b/>
          <w:color w:val="auto"/>
          <w:sz w:val="24"/>
          <w:szCs w:val="24"/>
        </w:rPr>
        <w:t xml:space="preserve"> der BRK</w:t>
      </w:r>
      <w:bookmarkEnd w:id="45"/>
      <w:bookmarkEnd w:id="46"/>
      <w:bookmarkEnd w:id="47"/>
      <w:bookmarkEnd w:id="48"/>
    </w:p>
    <w:p w14:paraId="423C859A" w14:textId="77777777" w:rsidR="00716684" w:rsidRPr="00716684" w:rsidRDefault="00716684" w:rsidP="00716684">
      <w:pPr>
        <w:spacing w:before="240" w:after="240" w:line="259" w:lineRule="auto"/>
        <w:jc w:val="both"/>
      </w:pPr>
      <w:r w:rsidRPr="00716684">
        <w:t>Der BRK-Ausschuss stellte in den abschliessenden Bemerkungen zur Initialüberprüfung der Schweiz zahlreiche Konventionsverletzungen in sämtlichen Lebensbereichen fest.</w:t>
      </w:r>
      <w:r w:rsidRPr="00716684">
        <w:rPr>
          <w:vertAlign w:val="superscript"/>
        </w:rPr>
        <w:footnoteReference w:id="32"/>
      </w:r>
      <w:r w:rsidRPr="00716684">
        <w:t xml:space="preserve"> Es zeigt sich, dass die Umsetzung der BRK ein strukturiertes Vorgehen erfordert. Bis heute fehlen allerdings eine Strategie zur schrittweisen Umsetzung des Übereinkommens in allen Lebens- und Sachbereichen sowie die erforderlichen Massnahmen rechtsetzender, rechtsanwendender und planerischer Natur.</w:t>
      </w:r>
    </w:p>
    <w:p w14:paraId="26DE4561" w14:textId="77777777" w:rsidR="00716684" w:rsidRPr="00716684" w:rsidRDefault="00716684" w:rsidP="00716684">
      <w:pPr>
        <w:spacing w:before="240" w:after="240" w:line="259" w:lineRule="auto"/>
        <w:jc w:val="both"/>
      </w:pPr>
      <w:r w:rsidRPr="00716684">
        <w:t xml:space="preserve">Für eine progressive, tatsächliche Umsetzung der BRK sollten im </w:t>
      </w:r>
      <w:proofErr w:type="spellStart"/>
      <w:r w:rsidRPr="00716684">
        <w:t>InG</w:t>
      </w:r>
      <w:proofErr w:type="spellEnd"/>
      <w:r w:rsidRPr="00716684">
        <w:t xml:space="preserve"> die folgenden organisatorischen Vorkehren verankert werden:</w:t>
      </w:r>
    </w:p>
    <w:p w14:paraId="38186B50" w14:textId="77777777" w:rsidR="00716684" w:rsidRPr="00716684" w:rsidRDefault="00716684" w:rsidP="00716684">
      <w:pPr>
        <w:numPr>
          <w:ilvl w:val="0"/>
          <w:numId w:val="7"/>
        </w:numPr>
        <w:spacing w:before="240" w:after="240" w:line="259" w:lineRule="auto"/>
        <w:jc w:val="both"/>
      </w:pPr>
      <w:r w:rsidRPr="00716684">
        <w:t>Mit Blick auf die Verwirklichung derjenigen Verpflichtungen der BRK, die nicht unmittelbar umfassend umgesetzt werden können,</w:t>
      </w:r>
      <w:r w:rsidRPr="00716684">
        <w:rPr>
          <w:vertAlign w:val="superscript"/>
        </w:rPr>
        <w:footnoteReference w:id="33"/>
      </w:r>
      <w:r w:rsidRPr="00716684">
        <w:t xml:space="preserve"> sollte eine </w:t>
      </w:r>
      <w:r w:rsidRPr="00716684">
        <w:rPr>
          <w:b/>
          <w:bCs/>
        </w:rPr>
        <w:t>Planungspflicht</w:t>
      </w:r>
      <w:r w:rsidRPr="00716684">
        <w:t xml:space="preserve"> für Bund und Kantone eingeführt werden. Die Planung umfasst den regelmässigen Erlass von Strategien und den zu ihrer Umsetzung erforderlichen Aktionsplänen, die konkrete Massnahmen und Instrumente vorsehen. Ein wesentlicher Aspekt der Planung beinhaltet die Koordination zwischen Bund und Kantonen.</w:t>
      </w:r>
    </w:p>
    <w:p w14:paraId="1BD9A412" w14:textId="77777777" w:rsidR="00716684" w:rsidRPr="00716684" w:rsidRDefault="00716684" w:rsidP="00716684">
      <w:pPr>
        <w:numPr>
          <w:ilvl w:val="0"/>
          <w:numId w:val="7"/>
        </w:numPr>
        <w:spacing w:before="240" w:after="240" w:line="259" w:lineRule="auto"/>
        <w:jc w:val="both"/>
      </w:pPr>
      <w:r w:rsidRPr="00716684">
        <w:t>Der Bund sollte seine Gesetzgebung umfassend danach überprüfen, ob das geltende Bundesrecht und seine Umsetzung mit den Verpflichtungen aus der BRK übereinstimmen (</w:t>
      </w:r>
      <w:r w:rsidRPr="00716684">
        <w:rPr>
          <w:b/>
          <w:bCs/>
        </w:rPr>
        <w:t>Initialprüfung der Gesetzgebung</w:t>
      </w:r>
      <w:r w:rsidRPr="00716684">
        <w:t xml:space="preserve">). Im </w:t>
      </w:r>
      <w:proofErr w:type="spellStart"/>
      <w:r w:rsidRPr="00716684">
        <w:t>InG</w:t>
      </w:r>
      <w:proofErr w:type="spellEnd"/>
      <w:r w:rsidRPr="00716684">
        <w:t xml:space="preserve"> ist eine entsprechende Überprüfungspflicht mit einer Frist von fünf Jahren vorzusehen. Auf der Grundlage dieser Überprüfung sind bestehende Erlasse im Sinne der BRK anzupassen. Ebenfalls bedarf es eines Überprüfungsmechanismus bei der Einführung neuer Erlasse hinsichtlich ihrer Übereinstimmung mit der BRK.</w:t>
      </w:r>
    </w:p>
    <w:p w14:paraId="07780F60" w14:textId="77777777" w:rsidR="00716684" w:rsidRPr="00716684" w:rsidRDefault="00716684" w:rsidP="00716684">
      <w:pPr>
        <w:numPr>
          <w:ilvl w:val="0"/>
          <w:numId w:val="7"/>
        </w:numPr>
        <w:spacing w:before="240" w:after="240" w:line="259" w:lineRule="auto"/>
        <w:jc w:val="both"/>
      </w:pPr>
      <w:r w:rsidRPr="00716684">
        <w:t xml:space="preserve">Zur Umsetzung der BRK ist eine </w:t>
      </w:r>
      <w:r w:rsidRPr="00716684">
        <w:rPr>
          <w:b/>
          <w:bCs/>
        </w:rPr>
        <w:t>Erweiterung der Kompetenzen des Eidgenössischen Büros für die Gleichstellung von Menschen mit Behinderungen</w:t>
      </w:r>
      <w:r w:rsidRPr="00716684">
        <w:t xml:space="preserve"> (EBGB) erforderlich. Neben den bislang in Art. 19 BehiG verankerten Kompetenzen sollte die Zuständigkeit des EBGB insbesondere die Verantwortung für die Umsetzung der Planungspflicht des Bundes (regelmässige Erstellung </w:t>
      </w:r>
      <w:r w:rsidRPr="00716684">
        <w:lastRenderedPageBreak/>
        <w:t xml:space="preserve">von Strategie und Aktionsplänen), die Koordination zwischen Bund und Kantonen zur Umsetzung der BRK, die Initialprüfung der Gesetzgebung sowie die Prüfung neuer Gesetzgebungsprojekte anderer Gliederungseinheit der Bundesverwaltung mit Blick auf die Übereinstimmung mit der BRK umfassen. Zur Bewältigung dieser Aufgaben drängt es sich auf, das </w:t>
      </w:r>
      <w:r w:rsidRPr="00716684">
        <w:rPr>
          <w:b/>
          <w:bCs/>
        </w:rPr>
        <w:t>EBGB in ein</w:t>
      </w:r>
      <w:r w:rsidRPr="00716684">
        <w:t xml:space="preserve"> </w:t>
      </w:r>
      <w:r w:rsidRPr="00716684">
        <w:rPr>
          <w:b/>
          <w:bCs/>
        </w:rPr>
        <w:t>Bundesamt</w:t>
      </w:r>
      <w:r w:rsidRPr="00716684">
        <w:t xml:space="preserve"> </w:t>
      </w:r>
      <w:r w:rsidRPr="00716684">
        <w:rPr>
          <w:b/>
          <w:bCs/>
        </w:rPr>
        <w:t>zu überführen</w:t>
      </w:r>
      <w:r w:rsidRPr="00716684">
        <w:t xml:space="preserve"> und dieses mit den erforderlichen Ressourcen auszustatten. In diesem Zusammenhang ist daran zu erinnern, dass das Eidgenössische Büro für die Gleichstellung von Frau und Mann, das analoge Aufgaben im Bereich der Geschlechtergleichstellung wahrnimmt, als Bundesamt organisiert ist. Es gibt keinen sachlichen Grund für diese Unterscheidung in der institutionellen Hierarchie.</w:t>
      </w:r>
    </w:p>
    <w:p w14:paraId="23F27845" w14:textId="77777777" w:rsidR="00716684" w:rsidRPr="00716684" w:rsidRDefault="00716684" w:rsidP="00716684">
      <w:pPr>
        <w:numPr>
          <w:ilvl w:val="0"/>
          <w:numId w:val="7"/>
        </w:numPr>
        <w:spacing w:before="240" w:after="240" w:line="259" w:lineRule="auto"/>
        <w:jc w:val="both"/>
      </w:pPr>
      <w:r w:rsidRPr="00716684">
        <w:t xml:space="preserve">Es bedarf einer </w:t>
      </w:r>
      <w:r w:rsidRPr="00716684">
        <w:rPr>
          <w:b/>
          <w:bCs/>
        </w:rPr>
        <w:t>Institutionalisierung des Einbezugs von Menschen mit Behinderungen</w:t>
      </w:r>
      <w:r w:rsidRPr="00716684">
        <w:t xml:space="preserve"> und ihrer Organisationen bei der Umsetzung der BRK. Dies anerkennt im Grundsatz auch der Vorentwurf, die entsprechenden Bestimmungen in Art. 11 Abs. 3 und Art. 12 Abs. 3 VE-</w:t>
      </w:r>
      <w:proofErr w:type="spellStart"/>
      <w:r w:rsidRPr="00716684">
        <w:t>InG</w:t>
      </w:r>
      <w:proofErr w:type="spellEnd"/>
      <w:r w:rsidRPr="00716684">
        <w:t xml:space="preserve"> bleiben allerdings zu vage.</w:t>
      </w:r>
      <w:r w:rsidRPr="00716684">
        <w:rPr>
          <w:vertAlign w:val="superscript"/>
        </w:rPr>
        <w:footnoteReference w:id="34"/>
      </w:r>
      <w:r w:rsidRPr="00716684">
        <w:t xml:space="preserve"> Für einen wirksamen Einbezug wäre etwa ein Inklusionsrat zu schaffen, der sich insbesondere zu den Umsetzungsstrategien und Aktionsplänen äussern und Empfehlungen abgeben könnte. Die Organisation und die Aufgaben dieses Inklusionsrates sollten im </w:t>
      </w:r>
      <w:proofErr w:type="spellStart"/>
      <w:r w:rsidRPr="00716684">
        <w:t>InG</w:t>
      </w:r>
      <w:proofErr w:type="spellEnd"/>
      <w:r w:rsidRPr="00716684">
        <w:t xml:space="preserve"> präzise umschrieben werden.</w:t>
      </w:r>
    </w:p>
    <w:p w14:paraId="27FCB0DB" w14:textId="77777777" w:rsidR="00716684" w:rsidRPr="00716684" w:rsidRDefault="00716684" w:rsidP="00716684">
      <w:pPr>
        <w:spacing w:before="240" w:after="240" w:line="259" w:lineRule="auto"/>
        <w:jc w:val="both"/>
      </w:pPr>
      <w:r w:rsidRPr="00716684">
        <w:t xml:space="preserve">Die in </w:t>
      </w:r>
      <w:r w:rsidRPr="00716684">
        <w:rPr>
          <w:b/>
          <w:bCs/>
        </w:rPr>
        <w:t>Art.</w:t>
      </w:r>
      <w:r w:rsidRPr="00716684">
        <w:t xml:space="preserve"> </w:t>
      </w:r>
      <w:r w:rsidRPr="00716684">
        <w:rPr>
          <w:b/>
        </w:rPr>
        <w:t>11 und 12 VE-</w:t>
      </w:r>
      <w:proofErr w:type="spellStart"/>
      <w:r w:rsidRPr="00716684">
        <w:rPr>
          <w:b/>
        </w:rPr>
        <w:t>InG</w:t>
      </w:r>
      <w:proofErr w:type="spellEnd"/>
      <w:r w:rsidRPr="00716684">
        <w:t xml:space="preserve"> </w:t>
      </w:r>
      <w:r w:rsidRPr="00716684">
        <w:rPr>
          <w:b/>
          <w:bCs/>
        </w:rPr>
        <w:t>vorgesehenen Umsetzungsmassnahmen</w:t>
      </w:r>
      <w:r w:rsidRPr="00716684">
        <w:t xml:space="preserve"> erweisen sich vor diesem Hintergrund in mehrfacher Hinsicht als </w:t>
      </w:r>
      <w:r w:rsidRPr="00716684">
        <w:rPr>
          <w:b/>
          <w:bCs/>
        </w:rPr>
        <w:t>unzureichend</w:t>
      </w:r>
      <w:r w:rsidRPr="00716684">
        <w:t xml:space="preserve">: Zunächst sind sie aufgrund des </w:t>
      </w:r>
      <w:proofErr w:type="gramStart"/>
      <w:r w:rsidRPr="00716684">
        <w:t>zu eng gefassten sachlichen und persönlichen Geltungsbereichs</w:t>
      </w:r>
      <w:proofErr w:type="gramEnd"/>
      <w:r w:rsidRPr="00716684">
        <w:t xml:space="preserve"> des Vorentwurfs</w:t>
      </w:r>
      <w:r w:rsidRPr="00716684">
        <w:rPr>
          <w:vertAlign w:val="superscript"/>
        </w:rPr>
        <w:footnoteReference w:id="35"/>
      </w:r>
      <w:r w:rsidRPr="00716684">
        <w:t xml:space="preserve"> eingeschränkt. Nur aus dieser Optik lässt sich erklären, weshalb </w:t>
      </w:r>
      <w:r w:rsidRPr="00716684">
        <w:rPr>
          <w:b/>
        </w:rPr>
        <w:t>Art. 11 Abs. 1 und 2</w:t>
      </w:r>
      <w:r w:rsidRPr="00716684">
        <w:t xml:space="preserve"> sowie </w:t>
      </w:r>
      <w:r w:rsidRPr="00716684">
        <w:rPr>
          <w:b/>
        </w:rPr>
        <w:t>Art. 12 VE-</w:t>
      </w:r>
      <w:proofErr w:type="spellStart"/>
      <w:r w:rsidRPr="00716684">
        <w:rPr>
          <w:b/>
        </w:rPr>
        <w:t>InG</w:t>
      </w:r>
      <w:proofErr w:type="spellEnd"/>
      <w:r w:rsidRPr="00716684">
        <w:t xml:space="preserve"> </w:t>
      </w:r>
      <w:r w:rsidRPr="00716684">
        <w:rPr>
          <w:b/>
          <w:bCs/>
        </w:rPr>
        <w:t>nur die Kantone, nicht aber den Bund verpflichtet</w:t>
      </w:r>
      <w:r w:rsidRPr="00716684">
        <w:t xml:space="preserve"> und weshalb </w:t>
      </w:r>
      <w:r w:rsidRPr="00716684">
        <w:rPr>
          <w:b/>
        </w:rPr>
        <w:t>Art. 12 VE-</w:t>
      </w:r>
      <w:proofErr w:type="spellStart"/>
      <w:r w:rsidRPr="00716684">
        <w:rPr>
          <w:b/>
        </w:rPr>
        <w:t>InG</w:t>
      </w:r>
      <w:proofErr w:type="spellEnd"/>
      <w:r w:rsidRPr="00716684">
        <w:t xml:space="preserve"> sich </w:t>
      </w:r>
      <w:r w:rsidRPr="00716684">
        <w:rPr>
          <w:b/>
          <w:bCs/>
        </w:rPr>
        <w:t>explizit auf die Bereiche Wohnen und Arbeit beschränkt.</w:t>
      </w:r>
      <w:r w:rsidRPr="00716684">
        <w:rPr>
          <w:vertAlign w:val="superscript"/>
        </w:rPr>
        <w:footnoteReference w:id="36"/>
      </w:r>
      <w:r w:rsidRPr="00716684">
        <w:t xml:space="preserve"> Der Bundesrat stützt sich hier wiederum ausschliesslich auf Art. 112b BV, anstatt nach einem umfassenden Ansatz vorzugehen. Die Verpflichtung für die Erstellung von Aktionsplänen müsste sich an Bund </w:t>
      </w:r>
      <w:r w:rsidRPr="00716684">
        <w:rPr>
          <w:i/>
          <w:iCs/>
        </w:rPr>
        <w:t>und</w:t>
      </w:r>
      <w:r w:rsidRPr="00716684">
        <w:t xml:space="preserve"> Kantone richten und sämtliche Rechte der BRK – das heisst sämtliche Lebensbereiche – betreffen. Die für die Umsetzung der BRK elementare Koordination zwischen Bund und Kantonen wird in Art. 11 Abs. 4 VE-</w:t>
      </w:r>
      <w:proofErr w:type="spellStart"/>
      <w:r w:rsidRPr="00716684">
        <w:t>InG</w:t>
      </w:r>
      <w:proofErr w:type="spellEnd"/>
      <w:r w:rsidRPr="00716684">
        <w:t xml:space="preserve"> zwar angetönt, auch diesbezüglich bedürfte es aber einer Institutionalisierung der Zusammenarbeit mit organisatorischen und inhaltlichen Vorgaben; und nicht bloss unverbindliche Austauschtreffen. Zu begrüssen ist, dass in Art. 11 Abs. 2 VE-</w:t>
      </w:r>
      <w:proofErr w:type="spellStart"/>
      <w:r w:rsidRPr="00716684">
        <w:t>InG</w:t>
      </w:r>
      <w:proofErr w:type="spellEnd"/>
      <w:r w:rsidRPr="00716684">
        <w:t xml:space="preserve"> die Problematik des (interkantonalen) Wohnortswechsels als notwendiger Bestandteil der Koordination unter den Kantonen aufgegriffen wird. Auch diese Bestimmung enthält allerdings wieder einen zu tief angelegten Verpflichtungsgrad («sorgen für die Umsetzung von Massnahmen»; «zu erleichtern»; anstatt z.B. «stellen sicher, </w:t>
      </w:r>
      <w:r w:rsidRPr="00716684">
        <w:lastRenderedPageBreak/>
        <w:t>dass alle Menschen mit Behinderungen ihren Wohnort innerhalb und ausserhalb des Kantonsgebiets frei wechseln können»).</w:t>
      </w:r>
    </w:p>
    <w:p w14:paraId="14103B5D" w14:textId="77777777" w:rsidR="00A679BD" w:rsidRPr="00A679BD" w:rsidRDefault="00A679BD" w:rsidP="00A679BD">
      <w:pPr>
        <w:pStyle w:val="Textkrper"/>
        <w:spacing w:before="240" w:after="240"/>
        <w:rPr>
          <w:rFonts w:ascii="Arial" w:hAnsi="Arial" w:cs="Arial"/>
          <w:b/>
          <w:bCs/>
        </w:rPr>
      </w:pPr>
      <w:bookmarkStart w:id="49" w:name="_Ref202159410"/>
      <w:bookmarkStart w:id="50" w:name="_Ref202169752"/>
      <w:bookmarkStart w:id="51" w:name="_Toc210057843"/>
      <w:r w:rsidRPr="00A679BD">
        <w:rPr>
          <w:rFonts w:ascii="Arial" w:hAnsi="Arial" w:cs="Arial"/>
          <w:b/>
          <w:bCs/>
        </w:rPr>
        <w:t xml:space="preserve">Wir fordern daher: </w:t>
      </w:r>
    </w:p>
    <w:p w14:paraId="4DC2146F" w14:textId="77777777" w:rsidR="00A679BD" w:rsidRPr="00A679BD" w:rsidRDefault="00A679BD" w:rsidP="004C6A28">
      <w:pPr>
        <w:pStyle w:val="Textkrper"/>
        <w:numPr>
          <w:ilvl w:val="0"/>
          <w:numId w:val="22"/>
        </w:numPr>
        <w:pBdr>
          <w:top w:val="single" w:sz="4" w:space="1" w:color="auto"/>
          <w:left w:val="single" w:sz="4" w:space="4" w:color="auto"/>
          <w:bottom w:val="single" w:sz="4" w:space="1" w:color="auto"/>
          <w:right w:val="single" w:sz="4" w:space="4" w:color="auto"/>
        </w:pBdr>
        <w:shd w:val="clear" w:color="auto" w:fill="E5DFEC" w:themeFill="accent4" w:themeFillTint="33"/>
        <w:overflowPunct/>
        <w:autoSpaceDE/>
        <w:autoSpaceDN/>
        <w:adjustRightInd/>
        <w:spacing w:before="240" w:after="240" w:line="280" w:lineRule="exact"/>
        <w:ind w:left="284" w:hanging="284"/>
        <w:jc w:val="both"/>
        <w:textAlignment w:val="auto"/>
        <w:rPr>
          <w:rFonts w:ascii="Arial" w:hAnsi="Arial" w:cs="Arial"/>
          <w:b/>
          <w:bCs/>
        </w:rPr>
      </w:pPr>
      <w:r w:rsidRPr="00A679BD">
        <w:rPr>
          <w:rFonts w:ascii="Arial" w:hAnsi="Arial" w:cs="Arial"/>
          <w:b/>
          <w:bCs/>
        </w:rPr>
        <w:t>Es ist ein Abschnitt mit organisatorischen Vorkehren und Handlungsinstrumenten zu erarbeiten, der den Rahmen der Inklusionspolitik sowie deren Weiterentwicklung in den nächsten 20 Jahren sicherstellt.</w:t>
      </w:r>
    </w:p>
    <w:p w14:paraId="2996C243" w14:textId="77777777" w:rsidR="00A679BD" w:rsidRPr="00A679BD" w:rsidRDefault="00A679BD" w:rsidP="004C6A28">
      <w:pPr>
        <w:pStyle w:val="Textkrper"/>
        <w:numPr>
          <w:ilvl w:val="0"/>
          <w:numId w:val="22"/>
        </w:numPr>
        <w:pBdr>
          <w:top w:val="single" w:sz="4" w:space="1" w:color="auto"/>
          <w:left w:val="single" w:sz="4" w:space="4" w:color="auto"/>
          <w:bottom w:val="single" w:sz="4" w:space="1" w:color="auto"/>
          <w:right w:val="single" w:sz="4" w:space="4" w:color="auto"/>
        </w:pBdr>
        <w:shd w:val="clear" w:color="auto" w:fill="E5DFEC" w:themeFill="accent4" w:themeFillTint="33"/>
        <w:overflowPunct/>
        <w:autoSpaceDE/>
        <w:autoSpaceDN/>
        <w:adjustRightInd/>
        <w:spacing w:before="240" w:after="240" w:line="280" w:lineRule="exact"/>
        <w:ind w:left="284" w:hanging="284"/>
        <w:jc w:val="both"/>
        <w:textAlignment w:val="auto"/>
        <w:rPr>
          <w:rFonts w:ascii="Arial" w:hAnsi="Arial" w:cs="Arial"/>
          <w:b/>
          <w:bCs/>
        </w:rPr>
      </w:pPr>
      <w:r w:rsidRPr="00A679BD">
        <w:rPr>
          <w:rFonts w:ascii="Arial" w:hAnsi="Arial" w:cs="Arial"/>
          <w:b/>
          <w:bCs/>
        </w:rPr>
        <w:t xml:space="preserve">Dieser Abschnitt umfasst insbesondere eine Planungspflicht für Bund- und Kantone, die Verpflichtung für eine </w:t>
      </w:r>
      <w:r w:rsidRPr="00A679BD">
        <w:rPr>
          <w:rFonts w:ascii="Arial" w:hAnsi="Arial" w:cs="Arial"/>
          <w:b/>
          <w:bCs/>
          <w:lang w:eastAsia="de-CH"/>
        </w:rPr>
        <w:t>Initialprüfung der Gesetzgebung, die Überführung des EBGB in ein Bundesamt mit erweiterten Kompetenzen sowie die Institutionalisierung des Einbezugs von Menschen mit Behinderungen.</w:t>
      </w:r>
    </w:p>
    <w:p w14:paraId="7BDB9EA8" w14:textId="77777777" w:rsidR="00716684" w:rsidRPr="00B01E62" w:rsidRDefault="00716684" w:rsidP="00B01E62">
      <w:pPr>
        <w:pStyle w:val="berschrift2"/>
        <w:spacing w:before="480"/>
        <w:rPr>
          <w:rFonts w:ascii="Arial" w:hAnsi="Arial" w:cs="Arial"/>
          <w:b/>
          <w:color w:val="auto"/>
          <w:sz w:val="24"/>
          <w:szCs w:val="24"/>
        </w:rPr>
      </w:pPr>
      <w:bookmarkStart w:id="52" w:name="_Toc210903223"/>
      <w:r w:rsidRPr="00B01E62">
        <w:rPr>
          <w:rFonts w:ascii="Arial" w:hAnsi="Arial" w:cs="Arial"/>
          <w:b/>
          <w:color w:val="auto"/>
          <w:sz w:val="24"/>
          <w:szCs w:val="24"/>
        </w:rPr>
        <w:t>3.6 Fehlen einer unabhängigen BRK-Monitoring-Stelle</w:t>
      </w:r>
      <w:bookmarkEnd w:id="49"/>
      <w:bookmarkEnd w:id="50"/>
      <w:bookmarkEnd w:id="51"/>
      <w:bookmarkEnd w:id="52"/>
    </w:p>
    <w:p w14:paraId="336285E6" w14:textId="77777777" w:rsidR="00716684" w:rsidRPr="00716684" w:rsidRDefault="00716684" w:rsidP="00716684">
      <w:pPr>
        <w:spacing w:before="240" w:after="240" w:line="259" w:lineRule="auto"/>
        <w:jc w:val="both"/>
      </w:pPr>
      <w:r w:rsidRPr="00716684">
        <w:t xml:space="preserve">Art. 33 Abs. 2 BRK verpflichtet die Schweiz zur Einrichtung einer unabhängigen Monitoring-Stelle zur Überprüfung der Umsetzung der Konvention. Bislang ist die Schweiz dieser Verpflichtung nicht nachgekommen. Mit der Einführung des </w:t>
      </w:r>
      <w:proofErr w:type="spellStart"/>
      <w:r w:rsidRPr="00716684">
        <w:t>InG</w:t>
      </w:r>
      <w:proofErr w:type="spellEnd"/>
      <w:r w:rsidRPr="00716684">
        <w:t xml:space="preserve"> sollte die Gelegenheit ergriffen werden, diesen für die Umsetzung der BRK zentralen </w:t>
      </w:r>
      <w:r w:rsidRPr="00716684">
        <w:rPr>
          <w:b/>
          <w:bCs/>
        </w:rPr>
        <w:t>Kontrollmechanismus</w:t>
      </w:r>
      <w:r w:rsidRPr="00716684">
        <w:t xml:space="preserve"> endlich einzurichten. Als Vorbild könnte die in Deutschland bestehende Monitoring-Stelle dienen. Diese ist als Abteilung des Deutschen Institut für Menschenrechte (nationale Menschenrechtsinstitution) organisiert und begleitet sowohl den Bund wie auch die Bundesländer.</w:t>
      </w:r>
    </w:p>
    <w:p w14:paraId="65B78D90" w14:textId="77777777" w:rsidR="00716684" w:rsidRPr="00716684" w:rsidRDefault="00716684" w:rsidP="00A679BD">
      <w:pPr>
        <w:spacing w:before="240" w:after="240" w:line="259" w:lineRule="auto"/>
        <w:jc w:val="both"/>
        <w:rPr>
          <w:rFonts w:cs="Arial"/>
        </w:rPr>
      </w:pPr>
      <w:r w:rsidRPr="00716684">
        <w:t xml:space="preserve">Das neue Inklusionsgesetz muss zudem auch Funktionsweise sowie Aufgaben der unabhängigen </w:t>
      </w:r>
      <w:proofErr w:type="spellStart"/>
      <w:r w:rsidRPr="00716684">
        <w:t>Monitoringstelle</w:t>
      </w:r>
      <w:proofErr w:type="spellEnd"/>
      <w:r w:rsidRPr="00716684">
        <w:t xml:space="preserve"> festhalten. Zu Letzteren gehören unter anderem: Verfolgen und Dokumentieren des Übereinkommens durch Behörden und Private in der Schweiz; Empfehlungen an Behörden und Private zur Verbesserung des Schutzes der Rechte von Menschen mit Behinderungen; Stellungnahmen zu Massnahmen von Bund </w:t>
      </w:r>
      <w:r w:rsidRPr="00716684">
        <w:rPr>
          <w:rFonts w:cs="Arial"/>
        </w:rPr>
        <w:t>und Kantonen.</w:t>
      </w:r>
    </w:p>
    <w:p w14:paraId="272675EF" w14:textId="77777777" w:rsidR="00A679BD" w:rsidRPr="00A679BD" w:rsidRDefault="00A679BD" w:rsidP="00A679BD">
      <w:pPr>
        <w:pStyle w:val="Textkrper"/>
        <w:spacing w:before="240" w:after="240"/>
        <w:rPr>
          <w:rFonts w:ascii="Arial" w:hAnsi="Arial" w:cs="Arial"/>
          <w:b/>
          <w:bCs/>
        </w:rPr>
      </w:pPr>
      <w:bookmarkStart w:id="53" w:name="_Ref202159846"/>
      <w:bookmarkStart w:id="54" w:name="_Ref202499121"/>
      <w:bookmarkStart w:id="55" w:name="_Ref202499130"/>
      <w:bookmarkStart w:id="56" w:name="_Toc210057844"/>
      <w:r w:rsidRPr="00A679BD">
        <w:rPr>
          <w:rFonts w:ascii="Arial" w:hAnsi="Arial" w:cs="Arial"/>
          <w:b/>
          <w:bCs/>
        </w:rPr>
        <w:t xml:space="preserve">Wir fordern daher: </w:t>
      </w:r>
    </w:p>
    <w:p w14:paraId="09871B08" w14:textId="77777777" w:rsidR="00A679BD" w:rsidRPr="00A679BD" w:rsidRDefault="00A679BD" w:rsidP="00A679BD">
      <w:pPr>
        <w:pStyle w:val="Textkrper"/>
        <w:pBdr>
          <w:top w:val="single" w:sz="4" w:space="1" w:color="auto"/>
          <w:left w:val="single" w:sz="4" w:space="4" w:color="auto"/>
          <w:bottom w:val="single" w:sz="4" w:space="1" w:color="auto"/>
          <w:right w:val="single" w:sz="4" w:space="4" w:color="auto"/>
        </w:pBdr>
        <w:shd w:val="clear" w:color="auto" w:fill="E5DFEC" w:themeFill="accent4" w:themeFillTint="33"/>
        <w:spacing w:before="240" w:after="240"/>
        <w:rPr>
          <w:rFonts w:ascii="Arial" w:hAnsi="Arial" w:cs="Arial"/>
          <w:b/>
          <w:bCs/>
        </w:rPr>
      </w:pPr>
      <w:r w:rsidRPr="00A679BD">
        <w:rPr>
          <w:rFonts w:ascii="Arial" w:hAnsi="Arial" w:cs="Arial"/>
          <w:b/>
          <w:bCs/>
        </w:rPr>
        <w:t xml:space="preserve">Es ist eine gesetzliche Grundlage für eine unabhängige Monitoring-Stelle </w:t>
      </w:r>
      <w:r w:rsidRPr="00A679BD">
        <w:rPr>
          <w:rFonts w:ascii="Arial" w:hAnsi="Arial" w:cs="Arial"/>
          <w:b/>
          <w:bCs/>
          <w:lang w:eastAsia="de-CH"/>
        </w:rPr>
        <w:t xml:space="preserve">zur Überprüfung der Umsetzung der BRK </w:t>
      </w:r>
      <w:r w:rsidRPr="00A679BD">
        <w:rPr>
          <w:rFonts w:ascii="Arial" w:hAnsi="Arial" w:cs="Arial"/>
          <w:b/>
        </w:rPr>
        <w:t>(</w:t>
      </w:r>
      <w:r w:rsidRPr="00A679BD">
        <w:rPr>
          <w:rFonts w:ascii="Arial" w:hAnsi="Arial" w:cs="Arial"/>
          <w:b/>
          <w:bCs/>
        </w:rPr>
        <w:t>Art. 33 Abs. 2 BRK) einzuführen.</w:t>
      </w:r>
    </w:p>
    <w:p w14:paraId="520CA593" w14:textId="77777777" w:rsidR="00716684" w:rsidRPr="0062377A" w:rsidRDefault="00716684" w:rsidP="0062377A">
      <w:pPr>
        <w:pStyle w:val="berschrift2"/>
        <w:spacing w:before="480"/>
        <w:rPr>
          <w:rFonts w:ascii="Arial" w:hAnsi="Arial" w:cs="Arial"/>
          <w:b/>
          <w:color w:val="auto"/>
          <w:sz w:val="24"/>
          <w:szCs w:val="24"/>
        </w:rPr>
      </w:pPr>
      <w:bookmarkStart w:id="57" w:name="_Toc210903224"/>
      <w:r w:rsidRPr="0062377A">
        <w:rPr>
          <w:rFonts w:ascii="Arial" w:hAnsi="Arial" w:cs="Arial"/>
          <w:b/>
          <w:color w:val="auto"/>
          <w:sz w:val="24"/>
          <w:szCs w:val="24"/>
        </w:rPr>
        <w:t xml:space="preserve">3.7 Insbesondere zum </w:t>
      </w:r>
      <w:bookmarkEnd w:id="53"/>
      <w:r w:rsidRPr="0062377A">
        <w:rPr>
          <w:rFonts w:ascii="Arial" w:hAnsi="Arial" w:cs="Arial"/>
          <w:b/>
          <w:color w:val="auto"/>
          <w:sz w:val="24"/>
          <w:szCs w:val="24"/>
        </w:rPr>
        <w:t>Wohnen</w:t>
      </w:r>
      <w:bookmarkEnd w:id="54"/>
      <w:bookmarkEnd w:id="55"/>
      <w:bookmarkEnd w:id="56"/>
      <w:bookmarkEnd w:id="57"/>
    </w:p>
    <w:p w14:paraId="4A38D085" w14:textId="77777777" w:rsidR="00716684" w:rsidRPr="00716684" w:rsidRDefault="00716684" w:rsidP="0062377A">
      <w:pPr>
        <w:pStyle w:val="berschrift3"/>
        <w:spacing w:before="480"/>
        <w:rPr>
          <w:rFonts w:ascii="Arial" w:hAnsi="Arial" w:cs="Arial"/>
          <w:color w:val="auto"/>
        </w:rPr>
      </w:pPr>
      <w:bookmarkStart w:id="58" w:name="_Toc210057845"/>
      <w:bookmarkStart w:id="59" w:name="_Toc210903225"/>
      <w:r w:rsidRPr="00716684">
        <w:rPr>
          <w:rFonts w:ascii="Arial" w:hAnsi="Arial" w:cs="Arial"/>
          <w:color w:val="auto"/>
        </w:rPr>
        <w:t>3.7.1 Einleitung</w:t>
      </w:r>
      <w:bookmarkEnd w:id="58"/>
      <w:bookmarkEnd w:id="59"/>
    </w:p>
    <w:p w14:paraId="00A4492D" w14:textId="77777777" w:rsidR="00716684" w:rsidRPr="00716684" w:rsidRDefault="00716684" w:rsidP="00716684">
      <w:pPr>
        <w:spacing w:before="240" w:after="240" w:line="259" w:lineRule="auto"/>
        <w:jc w:val="both"/>
      </w:pPr>
      <w:r w:rsidRPr="00716684">
        <w:t xml:space="preserve">Die </w:t>
      </w:r>
      <w:r w:rsidRPr="00716684">
        <w:rPr>
          <w:b/>
        </w:rPr>
        <w:t>freie Wahl des Wohnortes und der Wohnform</w:t>
      </w:r>
      <w:r w:rsidRPr="00716684">
        <w:t xml:space="preserve"> ist für ein </w:t>
      </w:r>
      <w:r w:rsidRPr="00716684">
        <w:rPr>
          <w:b/>
        </w:rPr>
        <w:t>selbstbestimmtes Leben</w:t>
      </w:r>
      <w:r w:rsidRPr="00716684">
        <w:t xml:space="preserve"> von </w:t>
      </w:r>
      <w:r w:rsidRPr="00716684">
        <w:rPr>
          <w:b/>
        </w:rPr>
        <w:t>zentraler Bedeutung</w:t>
      </w:r>
      <w:r w:rsidRPr="00716684">
        <w:t xml:space="preserve">. Heute besteht sie für zahlreiche Menschen mit Behinderungen, die einen Unterstützungsbedarf haben, nicht. Sie stellt deshalb eine </w:t>
      </w:r>
      <w:r w:rsidRPr="00716684">
        <w:rPr>
          <w:b/>
        </w:rPr>
        <w:t>Kernforderung der Inklusions-Initiative</w:t>
      </w:r>
      <w:r w:rsidRPr="00716684">
        <w:t xml:space="preserve"> dar. Es ist vor diesem Hintergrund grundsätzlich richtig und wichtig, dass Bestimmungen zwecks Sicherstellung der freien Wahl des Wohnortes und der Wohnform für Menschen mit Behinderungen von Anfang an – und </w:t>
      </w:r>
      <w:r w:rsidRPr="00716684">
        <w:lastRenderedPageBreak/>
        <w:t xml:space="preserve">nicht erst in einer späteren Weiterentwicklung des Gesetzes – in das </w:t>
      </w:r>
      <w:proofErr w:type="spellStart"/>
      <w:r w:rsidRPr="00716684">
        <w:t>InG</w:t>
      </w:r>
      <w:proofErr w:type="spellEnd"/>
      <w:r w:rsidRPr="00716684">
        <w:t xml:space="preserve"> aufgenommen werden.</w:t>
      </w:r>
    </w:p>
    <w:p w14:paraId="3997E212" w14:textId="77777777" w:rsidR="00716684" w:rsidRPr="00716684" w:rsidRDefault="00716684" w:rsidP="00716684">
      <w:pPr>
        <w:spacing w:before="240" w:after="240" w:line="259" w:lineRule="auto"/>
        <w:jc w:val="both"/>
      </w:pPr>
      <w:r w:rsidRPr="00716684">
        <w:t xml:space="preserve">Eine am 30. Juni 2025 von der </w:t>
      </w:r>
      <w:r w:rsidRPr="00716684">
        <w:rPr>
          <w:bCs/>
        </w:rPr>
        <w:t>Eidgenössischen Finanzkontrolle veröffentlichte Evaluation der Bundesleistungen im Bereich selbstbestimmtes Wohnen für Menschen mit Behinderungen</w:t>
      </w:r>
      <w:r w:rsidRPr="00716684">
        <w:rPr>
          <w:vertAlign w:val="superscript"/>
        </w:rPr>
        <w:footnoteReference w:id="37"/>
      </w:r>
      <w:r w:rsidRPr="00716684">
        <w:t xml:space="preserve"> rückt folgende Probleme ins Licht und unterstreicht ihre Dringlichkeit: </w:t>
      </w:r>
    </w:p>
    <w:p w14:paraId="12C89227" w14:textId="77777777" w:rsidR="00716684" w:rsidRPr="00716684" w:rsidRDefault="00716684" w:rsidP="00B533C5">
      <w:pPr>
        <w:numPr>
          <w:ilvl w:val="0"/>
          <w:numId w:val="25"/>
        </w:numPr>
        <w:spacing w:before="120" w:after="120" w:line="259" w:lineRule="auto"/>
        <w:jc w:val="both"/>
      </w:pPr>
      <w:r w:rsidRPr="00716684">
        <w:t>Es existiert weder eine koordinierte, nationale Strategie noch ein Aktionsplan zur Förderung des selbstbestimmten Wohnens</w:t>
      </w:r>
      <w:r w:rsidRPr="00716684">
        <w:rPr>
          <w:vertAlign w:val="superscript"/>
        </w:rPr>
        <w:footnoteReference w:id="38"/>
      </w:r>
      <w:r w:rsidRPr="00716684">
        <w:t xml:space="preserve"> </w:t>
      </w:r>
    </w:p>
    <w:p w14:paraId="339B974B" w14:textId="77777777" w:rsidR="00716684" w:rsidRPr="00716684" w:rsidRDefault="00716684" w:rsidP="00B533C5">
      <w:pPr>
        <w:numPr>
          <w:ilvl w:val="0"/>
          <w:numId w:val="25"/>
        </w:numPr>
        <w:spacing w:before="120" w:after="120" w:line="259" w:lineRule="auto"/>
        <w:jc w:val="both"/>
      </w:pPr>
      <w:r w:rsidRPr="00716684">
        <w:t>Die Zuständigkeiten zwischen Bund und Kantonen ist ungeklärt</w:t>
      </w:r>
      <w:r w:rsidRPr="00716684">
        <w:rPr>
          <w:vertAlign w:val="superscript"/>
        </w:rPr>
        <w:footnoteReference w:id="39"/>
      </w:r>
    </w:p>
    <w:p w14:paraId="7307E9C4" w14:textId="77777777" w:rsidR="00716684" w:rsidRPr="00716684" w:rsidRDefault="00716684" w:rsidP="00B533C5">
      <w:pPr>
        <w:numPr>
          <w:ilvl w:val="0"/>
          <w:numId w:val="25"/>
        </w:numPr>
        <w:spacing w:before="120" w:after="120" w:line="259" w:lineRule="auto"/>
        <w:jc w:val="both"/>
      </w:pPr>
      <w:r w:rsidRPr="00716684">
        <w:t>Der Zugang zu Leistungen und die Rahmenbedingungen sind komplex, unübersichtlich und unklar</w:t>
      </w:r>
      <w:r w:rsidRPr="00716684">
        <w:rPr>
          <w:vertAlign w:val="superscript"/>
        </w:rPr>
        <w:footnoteReference w:id="40"/>
      </w:r>
    </w:p>
    <w:p w14:paraId="119FF606" w14:textId="77777777" w:rsidR="00716684" w:rsidRPr="00716684" w:rsidRDefault="00716684" w:rsidP="00B533C5">
      <w:pPr>
        <w:numPr>
          <w:ilvl w:val="0"/>
          <w:numId w:val="25"/>
        </w:numPr>
        <w:spacing w:before="120" w:after="120" w:line="259" w:lineRule="auto"/>
        <w:jc w:val="both"/>
      </w:pPr>
      <w:r w:rsidRPr="00716684">
        <w:t>Die Komplexität und die hohen Zugangshürden beim Assistenzbeitrag führen zu Ungleichbehandlungen</w:t>
      </w:r>
      <w:r w:rsidRPr="00716684">
        <w:rPr>
          <w:vertAlign w:val="superscript"/>
        </w:rPr>
        <w:footnoteReference w:id="41"/>
      </w:r>
    </w:p>
    <w:p w14:paraId="40ADF45C" w14:textId="77777777" w:rsidR="00716684" w:rsidRPr="00716684" w:rsidRDefault="00716684" w:rsidP="00716684">
      <w:pPr>
        <w:spacing w:before="240" w:after="240" w:line="259" w:lineRule="auto"/>
        <w:jc w:val="both"/>
      </w:pPr>
      <w:r w:rsidRPr="00716684">
        <w:t>Spätestens mit dieser Evaluation wird klar, wie umfassend und schwerwiegend die Systemprobleme im Bereich des Wohnens sind und wo genau diese liegen. In ihrem Bericht, der vom 27. März 2025 datiert ist, hält die EFK fest, die im Dezember 2024 vom Bundesrat vorgeschlagene Stossrichtung (Inklusionsgesetz und Teilrevision IV) würde mit ihren eigenen Schlussfolgerungen übereinstimmen.</w:t>
      </w:r>
      <w:r w:rsidRPr="00716684">
        <w:rPr>
          <w:vertAlign w:val="superscript"/>
        </w:rPr>
        <w:footnoteReference w:id="42"/>
      </w:r>
      <w:r w:rsidRPr="00716684">
        <w:t xml:space="preserve"> Auf S. 14 f. des EFK-Berichts werden die Stellungnahmen des EDI, des BSV und EBGB wiedergegeben, welche den indirekten Gegenvorschlag zur Inklusions-Initiative als eine Antwort auf die identifizierten Probleme darlegen. </w:t>
      </w:r>
    </w:p>
    <w:p w14:paraId="6C843F64" w14:textId="77777777" w:rsidR="00716684" w:rsidRPr="00716684" w:rsidRDefault="00716684" w:rsidP="00716684">
      <w:pPr>
        <w:spacing w:before="240" w:after="240" w:line="259" w:lineRule="auto"/>
        <w:jc w:val="both"/>
      </w:pPr>
      <w:r w:rsidRPr="00716684">
        <w:t>Der VE-</w:t>
      </w:r>
      <w:proofErr w:type="spellStart"/>
      <w:r w:rsidRPr="00716684">
        <w:t>InG</w:t>
      </w:r>
      <w:proofErr w:type="spellEnd"/>
      <w:r w:rsidRPr="00716684">
        <w:t xml:space="preserve"> – im Zeitraum ab Dezember 2024 entstanden – ist somit im Wissen um die Erkenntnisse der EFK-Evaluation verfasst worden. Umso kritischer fällt unsere Würdigung der entsprechenden Bestimmungen aus. </w:t>
      </w:r>
      <w:r w:rsidRPr="00716684">
        <w:rPr>
          <w:b/>
          <w:bCs/>
        </w:rPr>
        <w:t>Wir gehen davon aus, dass die vagen und redundanten Bestimmungen keine der von der EFK genannten Probleme lösen, geschweige denn den Alltag von Menschen mit Behinderungen verändern werden</w:t>
      </w:r>
      <w:r w:rsidRPr="00716684">
        <w:t>. So fehlen insbesondere Bestimmungen, welche den Schnittstellen zwischen den unterschiedlichen Leistungssystemen von Bund</w:t>
      </w:r>
      <w:r w:rsidRPr="00716684">
        <w:rPr>
          <w:vertAlign w:val="superscript"/>
        </w:rPr>
        <w:footnoteReference w:id="43"/>
      </w:r>
      <w:r w:rsidRPr="00716684">
        <w:t xml:space="preserve"> und Kantonen Rechnung tragen und ihre Anschlussfähigkeit sicherstellen. Der VE-</w:t>
      </w:r>
      <w:proofErr w:type="spellStart"/>
      <w:r w:rsidRPr="00716684">
        <w:t>InG</w:t>
      </w:r>
      <w:proofErr w:type="spellEnd"/>
      <w:r w:rsidRPr="00716684">
        <w:t xml:space="preserve"> stellt auch </w:t>
      </w:r>
      <w:r w:rsidRPr="00716684">
        <w:rPr>
          <w:b/>
        </w:rPr>
        <w:t xml:space="preserve">keine </w:t>
      </w:r>
      <w:r w:rsidRPr="00716684">
        <w:rPr>
          <w:b/>
        </w:rPr>
        <w:lastRenderedPageBreak/>
        <w:t>Weichen für die Vereinheitlichung der Bedarfserhebungsinstrumente</w:t>
      </w:r>
      <w:r w:rsidRPr="00716684">
        <w:t xml:space="preserve"> und den </w:t>
      </w:r>
      <w:r w:rsidRPr="00716684">
        <w:rPr>
          <w:b/>
        </w:rPr>
        <w:t>Abbau der administrativen Hürden</w:t>
      </w:r>
      <w:r w:rsidRPr="00716684">
        <w:t>, mit welchen Menschen mit Behinderungen konfrontiert sind.</w:t>
      </w:r>
      <w:r w:rsidRPr="00716684">
        <w:rPr>
          <w:vertAlign w:val="superscript"/>
        </w:rPr>
        <w:footnoteReference w:id="44"/>
      </w:r>
    </w:p>
    <w:p w14:paraId="2880D498" w14:textId="6DD693DE" w:rsidR="00716684" w:rsidRPr="00716684" w:rsidRDefault="00716684" w:rsidP="00716684">
      <w:pPr>
        <w:spacing w:before="240" w:after="240" w:line="259" w:lineRule="auto"/>
        <w:jc w:val="both"/>
      </w:pPr>
      <w:r w:rsidRPr="00716684">
        <w:t xml:space="preserve">Neben einem </w:t>
      </w:r>
      <w:r w:rsidRPr="00716684">
        <w:rPr>
          <w:b/>
        </w:rPr>
        <w:t>beinahe kosmetischen 3. Abschnitt</w:t>
      </w:r>
      <w:r w:rsidRPr="00716684">
        <w:t xml:space="preserve"> über die «Grundsätze für die Förderung des selbstbestimmten Wohnens», wurde im </w:t>
      </w:r>
      <w:r w:rsidRPr="00716684">
        <w:rPr>
          <w:b/>
        </w:rPr>
        <w:t>4. Abschnitt</w:t>
      </w:r>
      <w:r w:rsidRPr="00716684">
        <w:t xml:space="preserve"> «Anerkennung von Institutionen» das </w:t>
      </w:r>
      <w:r w:rsidRPr="00716684">
        <w:rPr>
          <w:b/>
        </w:rPr>
        <w:t>heute geltende IFEG ohne grundsätzliche Änderungen aufgenommen</w:t>
      </w:r>
      <w:r w:rsidRPr="00716684">
        <w:t>.</w:t>
      </w:r>
      <w:r w:rsidRPr="00716684">
        <w:rPr>
          <w:vertAlign w:val="superscript"/>
        </w:rPr>
        <w:footnoteReference w:id="45"/>
      </w:r>
      <w:r w:rsidRPr="00716684">
        <w:t xml:space="preserve"> Es wird damit </w:t>
      </w:r>
      <w:r w:rsidRPr="00716684">
        <w:rPr>
          <w:b/>
        </w:rPr>
        <w:t>das heutige System zementiert, dessen rechtliche Grundlagen vom Wohnen in Institutionen ausgehen</w:t>
      </w:r>
      <w:r w:rsidRPr="00716684">
        <w:t xml:space="preserve">. Die Formulierung «Institutionen zur Förderung der Inklusion betroffener Personen» in Art. 6 Abs. 1 ändert daran nichts. </w:t>
      </w:r>
      <w:r w:rsidRPr="00716684">
        <w:rPr>
          <w:b/>
        </w:rPr>
        <w:t>Sie widerspricht vielmehr diametral der BRK</w:t>
      </w:r>
      <w:r w:rsidRPr="00716684">
        <w:t xml:space="preserve">. Der Übergang von einem System des institutionellen Wohnens (4. Abschnitt) hin zu einem BRK-konformen System, das ausgehend vom behinderungsbedingten Bedarf das selbstbestimmte Wohnen ermöglicht, wird in keinerlei Art und Weise aufgezeigt. </w:t>
      </w:r>
      <w:r w:rsidRPr="00716684">
        <w:rPr>
          <w:bCs/>
        </w:rPr>
        <w:t>Der 3. und 4</w:t>
      </w:r>
      <w:r w:rsidR="00DB673D">
        <w:rPr>
          <w:bCs/>
        </w:rPr>
        <w:t>.</w:t>
      </w:r>
      <w:r w:rsidRPr="00716684">
        <w:rPr>
          <w:bCs/>
        </w:rPr>
        <w:t xml:space="preserve"> Abschnitt des VE-</w:t>
      </w:r>
      <w:proofErr w:type="spellStart"/>
      <w:r w:rsidRPr="00716684">
        <w:rPr>
          <w:bCs/>
        </w:rPr>
        <w:t>InG</w:t>
      </w:r>
      <w:proofErr w:type="spellEnd"/>
      <w:r w:rsidRPr="00716684">
        <w:rPr>
          <w:bCs/>
        </w:rPr>
        <w:t xml:space="preserve"> stehen konzeptlos nebeneinander.</w:t>
      </w:r>
    </w:p>
    <w:p w14:paraId="71688908" w14:textId="77777777" w:rsidR="00716684" w:rsidRPr="00716684" w:rsidRDefault="00716684" w:rsidP="00716684">
      <w:pPr>
        <w:spacing w:before="240" w:after="240" w:line="259" w:lineRule="auto"/>
        <w:jc w:val="both"/>
      </w:pPr>
      <w:r w:rsidRPr="00716684">
        <w:t xml:space="preserve">Die </w:t>
      </w:r>
      <w:r w:rsidRPr="00716684">
        <w:rPr>
          <w:b/>
        </w:rPr>
        <w:t>Gefahr der Wirkungslosigkeit</w:t>
      </w:r>
      <w:r w:rsidRPr="00716684">
        <w:t xml:space="preserve"> der vorgeschlagenen Bestimmungen zum Wohnen wird schliesslich noch dadurch </w:t>
      </w:r>
      <w:r w:rsidRPr="00716684">
        <w:rPr>
          <w:b/>
        </w:rPr>
        <w:t>verstärkt</w:t>
      </w:r>
      <w:r w:rsidRPr="00716684">
        <w:t>, dass der VE-</w:t>
      </w:r>
      <w:proofErr w:type="spellStart"/>
      <w:r w:rsidRPr="00716684">
        <w:t>InG</w:t>
      </w:r>
      <w:proofErr w:type="spellEnd"/>
      <w:r w:rsidRPr="00716684">
        <w:t xml:space="preserve"> Menschen mit Behinderungen </w:t>
      </w:r>
      <w:r w:rsidRPr="00716684">
        <w:rPr>
          <w:b/>
        </w:rPr>
        <w:t>keinen Rechtsanspruch</w:t>
      </w:r>
      <w:r w:rsidRPr="00716684">
        <w:t xml:space="preserve"> auf freie Wahl der Wohnform und des Wohnortes gibt</w:t>
      </w:r>
      <w:r w:rsidRPr="00716684">
        <w:rPr>
          <w:vertAlign w:val="superscript"/>
        </w:rPr>
        <w:footnoteReference w:id="46"/>
      </w:r>
      <w:r w:rsidRPr="00716684">
        <w:t xml:space="preserve"> und dass </w:t>
      </w:r>
      <w:r w:rsidRPr="00716684">
        <w:rPr>
          <w:b/>
        </w:rPr>
        <w:t>keine griffigen Umsetzungs- und Kontrollmechanismen</w:t>
      </w:r>
      <w:r w:rsidRPr="00716684">
        <w:t xml:space="preserve"> vorgesehen sind.</w:t>
      </w:r>
      <w:r w:rsidRPr="00716684">
        <w:rPr>
          <w:vertAlign w:val="superscript"/>
        </w:rPr>
        <w:footnoteReference w:id="47"/>
      </w:r>
      <w:r w:rsidRPr="00716684">
        <w:t xml:space="preserve"> Als Folge der Erfahrungen im Rahmen der BehiG-Umsetzung muss der Bundesrat wissen, dass Zielformulierungen und Grundsätze ohne begleitende Druck- und Kontrollinstrumente im Bereich der Rechte von Menschen mit Behinderungen nichts verändern werden.</w:t>
      </w:r>
    </w:p>
    <w:p w14:paraId="525DF27D" w14:textId="77777777" w:rsidR="00716684" w:rsidRPr="00716684" w:rsidRDefault="00716684" w:rsidP="00E36FE7">
      <w:pPr>
        <w:pStyle w:val="berschrift3"/>
        <w:rPr>
          <w:rFonts w:ascii="Arial" w:hAnsi="Arial" w:cs="Arial"/>
          <w:color w:val="auto"/>
        </w:rPr>
      </w:pPr>
      <w:bookmarkStart w:id="61" w:name="_Toc210057846"/>
      <w:bookmarkStart w:id="62" w:name="_Toc210903226"/>
      <w:r w:rsidRPr="00716684">
        <w:rPr>
          <w:rFonts w:ascii="Arial" w:hAnsi="Arial" w:cs="Arial"/>
          <w:color w:val="auto"/>
        </w:rPr>
        <w:t>3.7.2 Zum 3. Abschnitt</w:t>
      </w:r>
      <w:bookmarkEnd w:id="61"/>
      <w:bookmarkEnd w:id="62"/>
    </w:p>
    <w:p w14:paraId="792C858A" w14:textId="77777777" w:rsidR="00716684" w:rsidRPr="00716684" w:rsidRDefault="00716684" w:rsidP="00716684">
      <w:pPr>
        <w:numPr>
          <w:ilvl w:val="0"/>
          <w:numId w:val="13"/>
        </w:numPr>
        <w:spacing w:before="240" w:after="240" w:line="259" w:lineRule="auto"/>
        <w:jc w:val="both"/>
      </w:pPr>
      <w:r w:rsidRPr="00716684">
        <w:t xml:space="preserve">Gemäss </w:t>
      </w:r>
      <w:r w:rsidRPr="00716684">
        <w:rPr>
          <w:b/>
          <w:bCs/>
        </w:rPr>
        <w:t>Art. 4 Abs. 1 und 2 VE-</w:t>
      </w:r>
      <w:proofErr w:type="spellStart"/>
      <w:r w:rsidRPr="00716684">
        <w:rPr>
          <w:b/>
          <w:bCs/>
        </w:rPr>
        <w:t>InG</w:t>
      </w:r>
      <w:proofErr w:type="spellEnd"/>
      <w:r w:rsidRPr="00716684">
        <w:rPr>
          <w:b/>
          <w:bCs/>
        </w:rPr>
        <w:t xml:space="preserve"> </w:t>
      </w:r>
      <w:r w:rsidRPr="00716684">
        <w:t xml:space="preserve">gewährleisten Bund und Kantone den betroffenen Personen das Recht auf freie Wahl der Wohnform. Der Wechsel von der einen in die andere Wohnform soll gefördert werden. Die erforderlichen Leistungen sollen zur Verfügung gestellt werden. Die Bestimmung wiederholt die Verpflichtung von Bund und Kantonen gemäss Art. 19 BRK. Sie bleibt derart </w:t>
      </w:r>
      <w:r w:rsidRPr="00716684">
        <w:rPr>
          <w:b/>
          <w:bCs/>
        </w:rPr>
        <w:t>vage</w:t>
      </w:r>
      <w:r w:rsidRPr="00716684">
        <w:t xml:space="preserve">, dass: </w:t>
      </w:r>
    </w:p>
    <w:p w14:paraId="3C0C010F" w14:textId="77777777" w:rsidR="00716684" w:rsidRPr="00716684" w:rsidRDefault="00716684" w:rsidP="00716684">
      <w:pPr>
        <w:numPr>
          <w:ilvl w:val="0"/>
          <w:numId w:val="14"/>
        </w:numPr>
        <w:spacing w:before="240" w:after="240" w:line="259" w:lineRule="auto"/>
        <w:jc w:val="both"/>
      </w:pPr>
      <w:r w:rsidRPr="00716684">
        <w:t xml:space="preserve">auf Bundesebene der Bundesrat gestützt darauf keine Verordnung erlassen kann, sondern vielmehr zuerst für gesetzliche Konkretisierung zu sorgen sein wird. Es stellt sich deshalb die Frage, wieso die erforderliche Konkretisierung nicht hier, im Rahmen der </w:t>
      </w:r>
      <w:proofErr w:type="spellStart"/>
      <w:r w:rsidRPr="00716684">
        <w:t>InG</w:t>
      </w:r>
      <w:proofErr w:type="spellEnd"/>
      <w:r w:rsidRPr="00716684">
        <w:t xml:space="preserve">-Erarbeitung (allenfalls mit Anpassungen in der Spezialgesetzgebung des Bundes) erfolgt. Mit </w:t>
      </w:r>
      <w:r w:rsidRPr="00716684">
        <w:lastRenderedPageBreak/>
        <w:t>diesem Vorschlag erweckt der Bundesrat den Eindruck, etwas zu tun, ohne es tatsächlich zu tun.</w:t>
      </w:r>
    </w:p>
    <w:p w14:paraId="33917517" w14:textId="77777777" w:rsidR="00716684" w:rsidRPr="00716684" w:rsidRDefault="00716684" w:rsidP="00716684">
      <w:pPr>
        <w:numPr>
          <w:ilvl w:val="0"/>
          <w:numId w:val="14"/>
        </w:numPr>
        <w:spacing w:before="240" w:after="240" w:line="259" w:lineRule="auto"/>
        <w:jc w:val="both"/>
      </w:pPr>
      <w:r w:rsidRPr="00716684">
        <w:t>auf kantonaler Ebene schleierhaft bleibt, inwiefern die nicht näher konkretisierte Wiederholung der Verpflichtungen nach Art. 19 BRK dazu führen sollte, dass die Kantone plötzlich die nötigen Gesetzesanpassungen vornehmen, welche die meisten Kantone in den elf Jahren seit Ratifizierung der BRK nicht getätigt haben. Jedenfalls wird Art. 4 VE-</w:t>
      </w:r>
      <w:proofErr w:type="spellStart"/>
      <w:r w:rsidRPr="00716684">
        <w:t>InG</w:t>
      </w:r>
      <w:proofErr w:type="spellEnd"/>
      <w:r w:rsidRPr="00716684">
        <w:t xml:space="preserve"> in keinerlei Hinsicht die aktuelle Überforderung der Verwaltungseinheiten mit einem auch für sie viel zu komplexen und unklaren System beheben.</w:t>
      </w:r>
    </w:p>
    <w:p w14:paraId="6E45C89F" w14:textId="77777777" w:rsidR="00716684" w:rsidRPr="00716684" w:rsidRDefault="00716684" w:rsidP="00716684">
      <w:pPr>
        <w:numPr>
          <w:ilvl w:val="0"/>
          <w:numId w:val="13"/>
        </w:numPr>
        <w:spacing w:before="240" w:after="240" w:line="259" w:lineRule="auto"/>
        <w:jc w:val="both"/>
      </w:pPr>
      <w:r w:rsidRPr="00716684">
        <w:t>Mit Bezug auf</w:t>
      </w:r>
      <w:r w:rsidRPr="00716684">
        <w:rPr>
          <w:b/>
          <w:bCs/>
        </w:rPr>
        <w:t xml:space="preserve"> Art. 4 Abs. 3 </w:t>
      </w:r>
      <w:proofErr w:type="spellStart"/>
      <w:r w:rsidRPr="00716684">
        <w:rPr>
          <w:b/>
          <w:bCs/>
        </w:rPr>
        <w:t>lit</w:t>
      </w:r>
      <w:proofErr w:type="spellEnd"/>
      <w:r w:rsidRPr="00716684">
        <w:rPr>
          <w:b/>
          <w:bCs/>
        </w:rPr>
        <w:t>. a und b VE-</w:t>
      </w:r>
      <w:proofErr w:type="spellStart"/>
      <w:r w:rsidRPr="00716684">
        <w:rPr>
          <w:b/>
          <w:bCs/>
        </w:rPr>
        <w:t>InG</w:t>
      </w:r>
      <w:proofErr w:type="spellEnd"/>
      <w:r w:rsidRPr="00716684">
        <w:rPr>
          <w:b/>
          <w:bCs/>
        </w:rPr>
        <w:t xml:space="preserve"> </w:t>
      </w:r>
      <w:r w:rsidRPr="00716684">
        <w:t xml:space="preserve">ist zu </w:t>
      </w:r>
      <w:r w:rsidRPr="00716684">
        <w:rPr>
          <w:b/>
        </w:rPr>
        <w:t>begrüssen</w:t>
      </w:r>
      <w:r w:rsidRPr="00716684">
        <w:t xml:space="preserve">, dass die </w:t>
      </w:r>
      <w:r w:rsidRPr="00716684">
        <w:rPr>
          <w:b/>
        </w:rPr>
        <w:t>Verfügbarkeit von hindernisfreiem Wohnraum</w:t>
      </w:r>
      <w:r w:rsidRPr="00716684">
        <w:t xml:space="preserve"> (</w:t>
      </w:r>
      <w:proofErr w:type="spellStart"/>
      <w:r w:rsidRPr="00716684">
        <w:t>lit</w:t>
      </w:r>
      <w:proofErr w:type="spellEnd"/>
      <w:r w:rsidRPr="00716684">
        <w:t xml:space="preserve">. a) sowie die </w:t>
      </w:r>
      <w:r w:rsidRPr="00716684">
        <w:rPr>
          <w:b/>
        </w:rPr>
        <w:t>Beratung und Begleitung der betroffenen Personen</w:t>
      </w:r>
      <w:r w:rsidRPr="00716684">
        <w:t xml:space="preserve"> (</w:t>
      </w:r>
      <w:proofErr w:type="spellStart"/>
      <w:r w:rsidRPr="00716684">
        <w:t>lit</w:t>
      </w:r>
      <w:proofErr w:type="spellEnd"/>
      <w:r w:rsidRPr="00716684">
        <w:t xml:space="preserve">. b) als </w:t>
      </w:r>
      <w:r w:rsidRPr="00716684">
        <w:rPr>
          <w:b/>
        </w:rPr>
        <w:t>unabdingbare Voraussetzungen</w:t>
      </w:r>
      <w:r w:rsidRPr="00716684">
        <w:t xml:space="preserve"> zur Gewährleistung des Rechts von Menschen mit Behinderungen auf freie Wahl der Wohnform und des Wohnortes erkannt worden sind. Hier darf sich das Gesetz jedoch nicht auf eine Förderpflicht beschränken. Vielmehr sind Bund und Kantone zu </w:t>
      </w:r>
      <w:r w:rsidRPr="00716684">
        <w:rPr>
          <w:bCs/>
        </w:rPr>
        <w:t>verpflichten</w:t>
      </w:r>
      <w:r w:rsidRPr="00716684">
        <w:t xml:space="preserve">, die notwendigen Massnahmen zu ergreifen, damit Wohnraum und Beratung sichergestellt werden. </w:t>
      </w:r>
    </w:p>
    <w:p w14:paraId="062E70BB" w14:textId="77777777" w:rsidR="00716684" w:rsidRPr="00716684" w:rsidRDefault="00716684" w:rsidP="00716684">
      <w:pPr>
        <w:numPr>
          <w:ilvl w:val="0"/>
          <w:numId w:val="13"/>
        </w:numPr>
        <w:spacing w:before="240" w:after="240" w:line="259" w:lineRule="auto"/>
        <w:jc w:val="both"/>
      </w:pPr>
      <w:r w:rsidRPr="00716684">
        <w:t xml:space="preserve">Was </w:t>
      </w:r>
      <w:r w:rsidRPr="00716684">
        <w:rPr>
          <w:bCs/>
        </w:rPr>
        <w:t>Art. 4 Abs. 4 VE-</w:t>
      </w:r>
      <w:proofErr w:type="spellStart"/>
      <w:r w:rsidRPr="00716684">
        <w:rPr>
          <w:bCs/>
        </w:rPr>
        <w:t>InG</w:t>
      </w:r>
      <w:proofErr w:type="spellEnd"/>
      <w:r w:rsidRPr="00716684">
        <w:t xml:space="preserve"> bringen soll, bleibt unklar. Die erwähnte Verpflichtung der Kantone folgt bereits aus den Art. 112b und 112c BV, verbindlicher wird sie nicht. Durch das unmittelbare Verknüpfen der Institutionen mit ambulanten Leistungen wird sie auch nicht klarer. Dafür </w:t>
      </w:r>
      <w:r w:rsidRPr="00716684">
        <w:rPr>
          <w:b/>
          <w:bCs/>
        </w:rPr>
        <w:t>lässt Art. 4 Abs. 4 VE-</w:t>
      </w:r>
      <w:proofErr w:type="spellStart"/>
      <w:r w:rsidRPr="00716684">
        <w:rPr>
          <w:b/>
          <w:bCs/>
        </w:rPr>
        <w:t>InG</w:t>
      </w:r>
      <w:proofErr w:type="spellEnd"/>
      <w:r w:rsidRPr="00716684">
        <w:rPr>
          <w:b/>
          <w:bCs/>
        </w:rPr>
        <w:t xml:space="preserve"> die zentrale Frage</w:t>
      </w:r>
      <w:r w:rsidRPr="00716684">
        <w:t xml:space="preserve"> </w:t>
      </w:r>
      <w:r w:rsidRPr="00716684">
        <w:rPr>
          <w:b/>
        </w:rPr>
        <w:t xml:space="preserve">unbeantwortet, wie der Übergang von stationären hin zu ambulanten Leistungen </w:t>
      </w:r>
      <w:r w:rsidRPr="00716684">
        <w:rPr>
          <w:b/>
          <w:bCs/>
        </w:rPr>
        <w:t>anzugehen ist</w:t>
      </w:r>
      <w:r w:rsidRPr="00716684">
        <w:t>.</w:t>
      </w:r>
    </w:p>
    <w:p w14:paraId="3EA757E0" w14:textId="77777777" w:rsidR="00716684" w:rsidRPr="00716684" w:rsidRDefault="00716684" w:rsidP="00716684">
      <w:pPr>
        <w:numPr>
          <w:ilvl w:val="0"/>
          <w:numId w:val="13"/>
        </w:numPr>
        <w:spacing w:before="240" w:after="240" w:line="259" w:lineRule="auto"/>
        <w:jc w:val="both"/>
      </w:pPr>
      <w:r w:rsidRPr="00716684">
        <w:t xml:space="preserve">Rätselhaft bleibt weiter auch der Sinn von </w:t>
      </w:r>
      <w:r w:rsidRPr="00716684">
        <w:rPr>
          <w:bCs/>
        </w:rPr>
        <w:t>Art. 4 Abs. 5 VE-</w:t>
      </w:r>
      <w:proofErr w:type="spellStart"/>
      <w:r w:rsidRPr="00716684">
        <w:rPr>
          <w:bCs/>
        </w:rPr>
        <w:t>InG</w:t>
      </w:r>
      <w:r w:rsidRPr="00716684">
        <w:t>.</w:t>
      </w:r>
      <w:proofErr w:type="spellEnd"/>
      <w:r w:rsidRPr="00716684">
        <w:t xml:space="preserve"> Nach Art. 112c Abs. 1 BV sorgen die Kantone für die Hilfe und Pflege von Betagten und Behinderten zu Hause. Diese Verpflichtung mutiert im </w:t>
      </w:r>
      <w:proofErr w:type="spellStart"/>
      <w:r w:rsidRPr="00716684">
        <w:t>InG</w:t>
      </w:r>
      <w:proofErr w:type="spellEnd"/>
      <w:r w:rsidRPr="00716684">
        <w:t xml:space="preserve"> nun zu einer «Freiheit» der Kantone, für diese Hilfe und Pflege zu sorgen.</w:t>
      </w:r>
    </w:p>
    <w:p w14:paraId="34E31114" w14:textId="77777777" w:rsidR="00716684" w:rsidRPr="00716684" w:rsidRDefault="00716684" w:rsidP="00716684">
      <w:pPr>
        <w:spacing w:before="240" w:after="240" w:line="259" w:lineRule="auto"/>
        <w:jc w:val="both"/>
      </w:pPr>
      <w:r w:rsidRPr="00716684">
        <w:t xml:space="preserve">In </w:t>
      </w:r>
      <w:r w:rsidRPr="00716684">
        <w:rPr>
          <w:b/>
          <w:bCs/>
        </w:rPr>
        <w:t>Art.</w:t>
      </w:r>
      <w:r w:rsidRPr="00716684">
        <w:t xml:space="preserve"> </w:t>
      </w:r>
      <w:r w:rsidRPr="00716684">
        <w:rPr>
          <w:b/>
          <w:bCs/>
        </w:rPr>
        <w:t>5 VE-</w:t>
      </w:r>
      <w:proofErr w:type="spellStart"/>
      <w:r w:rsidRPr="00716684">
        <w:rPr>
          <w:b/>
          <w:bCs/>
        </w:rPr>
        <w:t>InG</w:t>
      </w:r>
      <w:proofErr w:type="spellEnd"/>
      <w:r w:rsidRPr="00716684">
        <w:t xml:space="preserve"> werden «Grundsätze für die Massnahmen zur Förderung des selbstbestimmten Wohnens» vorgeschlagen. </w:t>
      </w:r>
      <w:r w:rsidRPr="00716684">
        <w:rPr>
          <w:b/>
        </w:rPr>
        <w:t>Positiv hervorzuheben</w:t>
      </w:r>
      <w:r w:rsidRPr="00716684">
        <w:t xml:space="preserve"> und </w:t>
      </w:r>
      <w:r w:rsidRPr="00716684">
        <w:rPr>
          <w:b/>
        </w:rPr>
        <w:t>von zentraler Bedeutung</w:t>
      </w:r>
      <w:r w:rsidRPr="00716684">
        <w:t xml:space="preserve"> ist, dass </w:t>
      </w:r>
      <w:proofErr w:type="spellStart"/>
      <w:r w:rsidRPr="00716684">
        <w:t>lit</w:t>
      </w:r>
      <w:proofErr w:type="spellEnd"/>
      <w:r w:rsidRPr="00716684">
        <w:t xml:space="preserve">. b sowie </w:t>
      </w:r>
      <w:proofErr w:type="spellStart"/>
      <w:r w:rsidRPr="00716684">
        <w:t>lit</w:t>
      </w:r>
      <w:proofErr w:type="spellEnd"/>
      <w:r w:rsidRPr="00716684">
        <w:t>. c beide festhalten, dass von den «</w:t>
      </w:r>
      <w:r w:rsidRPr="00716684">
        <w:rPr>
          <w:b/>
          <w:bCs/>
        </w:rPr>
        <w:t>Bedürfnissen der betroffenen Person</w:t>
      </w:r>
      <w:r w:rsidRPr="00716684">
        <w:t>» (</w:t>
      </w:r>
      <w:proofErr w:type="spellStart"/>
      <w:r w:rsidRPr="00716684">
        <w:t>lit</w:t>
      </w:r>
      <w:proofErr w:type="spellEnd"/>
      <w:r w:rsidRPr="00716684">
        <w:t>. b) bzw. vom «</w:t>
      </w:r>
      <w:r w:rsidRPr="00716684">
        <w:rPr>
          <w:b/>
          <w:bCs/>
        </w:rPr>
        <w:t>behinderungsbedingten Bedarf</w:t>
      </w:r>
      <w:r w:rsidRPr="00716684">
        <w:t>» auszugehen ist. Dies muss zwingend der Ausgangspunkt sein für die Ausrichtung von Leistungen zur Gewährleistung des Rechts auf freie Wahl der Wohnform und des Wohnortes.</w:t>
      </w:r>
      <w:r w:rsidRPr="00716684">
        <w:rPr>
          <w:vertAlign w:val="superscript"/>
        </w:rPr>
        <w:footnoteReference w:id="48"/>
      </w:r>
      <w:r w:rsidRPr="00716684">
        <w:rPr>
          <w:vertAlign w:val="superscript"/>
        </w:rPr>
        <w:t xml:space="preserve"> </w:t>
      </w:r>
      <w:r w:rsidRPr="00716684">
        <w:t>Zusätzlich zu den grundsätzlichen Mängeln des 4. Abschnittes, welche die normative Tragweite und mögliche Wirksamkeit von Art. 5 VE-</w:t>
      </w:r>
      <w:proofErr w:type="spellStart"/>
      <w:r w:rsidRPr="00716684">
        <w:t>InG</w:t>
      </w:r>
      <w:proofErr w:type="spellEnd"/>
      <w:r w:rsidRPr="00716684">
        <w:t xml:space="preserve"> ohnehin stark einschränken, stellt sich in gesetzessystematischer Sicht die Frage, wieso das für die Errichtung von Leistungen zum selbstbestimmten Leben zentrale Kriterium des behinderungsbedingten Bedarfs erst in Art. 5 VE-</w:t>
      </w:r>
      <w:proofErr w:type="spellStart"/>
      <w:r w:rsidRPr="00716684">
        <w:t>InG</w:t>
      </w:r>
      <w:proofErr w:type="spellEnd"/>
      <w:r w:rsidRPr="00716684">
        <w:t xml:space="preserve"> aufgenommen wird. In Art. </w:t>
      </w:r>
      <w:r w:rsidRPr="00716684">
        <w:rPr>
          <w:bCs/>
        </w:rPr>
        <w:t>3 Abs. 2 VE-</w:t>
      </w:r>
      <w:proofErr w:type="spellStart"/>
      <w:r w:rsidRPr="00716684">
        <w:rPr>
          <w:bCs/>
        </w:rPr>
        <w:t>InG</w:t>
      </w:r>
      <w:proofErr w:type="spellEnd"/>
      <w:r w:rsidRPr="00716684">
        <w:rPr>
          <w:bCs/>
        </w:rPr>
        <w:t xml:space="preserve"> im </w:t>
      </w:r>
      <w:r w:rsidRPr="00716684">
        <w:t xml:space="preserve">Zusammenhang mit den Zielen der Inklusion allgemein werden wiederum die </w:t>
      </w:r>
      <w:r w:rsidRPr="00716684">
        <w:lastRenderedPageBreak/>
        <w:t>«individuellen Bedürfnisse der betroffenen Person, insbesondere geschlechts- und altersspezifischen Bedürfnisse» erwähnt. Was damit gemeint ist, überhaupt und in Abgrenzung zu Art. 5 Abs. b und c VE-</w:t>
      </w:r>
      <w:proofErr w:type="spellStart"/>
      <w:r w:rsidRPr="00716684">
        <w:t>InG</w:t>
      </w:r>
      <w:proofErr w:type="spellEnd"/>
      <w:r w:rsidRPr="00716684">
        <w:t>, ist unklar.</w:t>
      </w:r>
    </w:p>
    <w:p w14:paraId="06130AE7" w14:textId="77777777" w:rsidR="00716684" w:rsidRPr="00716684" w:rsidRDefault="00716684" w:rsidP="00E36FE7">
      <w:pPr>
        <w:pStyle w:val="berschrift3"/>
        <w:rPr>
          <w:rFonts w:ascii="Arial" w:hAnsi="Arial" w:cs="Arial"/>
          <w:color w:val="auto"/>
        </w:rPr>
      </w:pPr>
      <w:bookmarkStart w:id="63" w:name="_Toc210057847"/>
      <w:bookmarkStart w:id="64" w:name="_Toc210903227"/>
      <w:r w:rsidRPr="00716684">
        <w:rPr>
          <w:rFonts w:ascii="Arial" w:hAnsi="Arial" w:cs="Arial"/>
          <w:color w:val="auto"/>
        </w:rPr>
        <w:t>3.7.3 Zum 4. Abschnitt</w:t>
      </w:r>
      <w:bookmarkEnd w:id="63"/>
      <w:bookmarkEnd w:id="64"/>
    </w:p>
    <w:p w14:paraId="23960335" w14:textId="77777777" w:rsidR="00716684" w:rsidRPr="00716684" w:rsidRDefault="00716684" w:rsidP="00716684">
      <w:pPr>
        <w:spacing w:before="240" w:after="240" w:line="259" w:lineRule="auto"/>
        <w:jc w:val="both"/>
      </w:pPr>
      <w:r w:rsidRPr="00716684">
        <w:t>Im 4. Abschnitt des VE-</w:t>
      </w:r>
      <w:proofErr w:type="spellStart"/>
      <w:r w:rsidRPr="00716684">
        <w:t>InG</w:t>
      </w:r>
      <w:proofErr w:type="spellEnd"/>
      <w:r w:rsidRPr="00716684">
        <w:t xml:space="preserve"> wurden die heute geltenden IFEG-Bestimmungen übernommen, mit wenigen, oberflächlichen Anpassungen. Dass Institutionen, in denen heute gewisse Menschen, mangels Alternativen, Information und Unterstützung im bestehenden System, wohnen müssen, in Art. 6 Abs. 1 VE-ING neu als </w:t>
      </w:r>
      <w:r w:rsidRPr="00716684">
        <w:rPr>
          <w:b/>
        </w:rPr>
        <w:t>Institutionen «zur Förderung der Inklusion betroffener Personen»</w:t>
      </w:r>
      <w:r w:rsidRPr="00716684">
        <w:t xml:space="preserve"> umgetauft werden, ist </w:t>
      </w:r>
      <w:r w:rsidRPr="00716684">
        <w:rPr>
          <w:b/>
          <w:bCs/>
        </w:rPr>
        <w:t>besonders stossend</w:t>
      </w:r>
      <w:r w:rsidRPr="00716684">
        <w:t>. Auf den ersten Blick erscheinen die Bestimmungen betreffend Arbeit noch mehr auf die Institutionen fokussiert, als sie es schon im IFEG waren. Bestimmungen, welche die Durchlässigkeit zwischen ambulanten und stationären Leistungen fördern würden, sucht man vergebens.</w:t>
      </w:r>
    </w:p>
    <w:p w14:paraId="7BDECC96" w14:textId="77777777" w:rsidR="00F729BA" w:rsidRDefault="00716684" w:rsidP="00F729BA">
      <w:pPr>
        <w:spacing w:before="240" w:after="240" w:line="259" w:lineRule="auto"/>
        <w:jc w:val="both"/>
      </w:pPr>
      <w:r w:rsidRPr="00716684">
        <w:t xml:space="preserve">An sich und wegen des Fehlens von Bestimmungen, welche den Übergang von stationären hin zu ambulanten Leistungen im Bereich Wohnen festlegen würden, </w:t>
      </w:r>
      <w:r w:rsidRPr="00716684">
        <w:rPr>
          <w:b/>
        </w:rPr>
        <w:t>muss der 4. Abschnitt des VE-</w:t>
      </w:r>
      <w:proofErr w:type="spellStart"/>
      <w:r w:rsidRPr="00716684">
        <w:rPr>
          <w:b/>
        </w:rPr>
        <w:t>InG</w:t>
      </w:r>
      <w:proofErr w:type="spellEnd"/>
      <w:r w:rsidRPr="00716684">
        <w:rPr>
          <w:b/>
        </w:rPr>
        <w:t xml:space="preserve"> </w:t>
      </w:r>
      <w:r w:rsidRPr="00716684">
        <w:rPr>
          <w:b/>
          <w:bCs/>
        </w:rPr>
        <w:t xml:space="preserve">somit </w:t>
      </w:r>
      <w:r w:rsidRPr="00716684">
        <w:rPr>
          <w:b/>
        </w:rPr>
        <w:t>neu konzipiert und grundlegend überarbeitet werden</w:t>
      </w:r>
      <w:r w:rsidRPr="00716684">
        <w:t xml:space="preserve">. </w:t>
      </w:r>
      <w:bookmarkStart w:id="65" w:name="_Toc210057848"/>
    </w:p>
    <w:p w14:paraId="430EBB93" w14:textId="6FFA997A" w:rsidR="00A679BD" w:rsidRPr="00A679BD" w:rsidRDefault="00A679BD" w:rsidP="00F729BA">
      <w:pPr>
        <w:spacing w:before="240" w:after="240" w:line="259" w:lineRule="auto"/>
        <w:jc w:val="both"/>
        <w:rPr>
          <w:rFonts w:cs="Arial"/>
          <w:b/>
          <w:bCs/>
        </w:rPr>
      </w:pPr>
      <w:r w:rsidRPr="00A679BD">
        <w:rPr>
          <w:rFonts w:cs="Arial"/>
          <w:b/>
          <w:bCs/>
        </w:rPr>
        <w:t xml:space="preserve">Wir fordern daher: </w:t>
      </w:r>
    </w:p>
    <w:p w14:paraId="273ECB86" w14:textId="77777777" w:rsidR="00A679BD" w:rsidRPr="00A679BD" w:rsidRDefault="00A679BD" w:rsidP="004C6A28">
      <w:pPr>
        <w:pStyle w:val="Textkrper"/>
        <w:numPr>
          <w:ilvl w:val="0"/>
          <w:numId w:val="23"/>
        </w:numPr>
        <w:pBdr>
          <w:top w:val="single" w:sz="4" w:space="1" w:color="auto"/>
          <w:left w:val="single" w:sz="4" w:space="4" w:color="auto"/>
          <w:bottom w:val="single" w:sz="4" w:space="1" w:color="auto"/>
          <w:right w:val="single" w:sz="4" w:space="4" w:color="auto"/>
        </w:pBdr>
        <w:shd w:val="clear" w:color="auto" w:fill="E5DFEC" w:themeFill="accent4" w:themeFillTint="33"/>
        <w:overflowPunct/>
        <w:autoSpaceDE/>
        <w:autoSpaceDN/>
        <w:adjustRightInd/>
        <w:spacing w:before="240" w:after="240" w:line="280" w:lineRule="exact"/>
        <w:ind w:left="284" w:hanging="284"/>
        <w:jc w:val="both"/>
        <w:textAlignment w:val="auto"/>
        <w:rPr>
          <w:rFonts w:ascii="Arial" w:hAnsi="Arial" w:cs="Arial"/>
          <w:b/>
        </w:rPr>
      </w:pPr>
      <w:r w:rsidRPr="00A679BD">
        <w:rPr>
          <w:rFonts w:ascii="Arial" w:hAnsi="Arial" w:cs="Arial"/>
          <w:b/>
        </w:rPr>
        <w:t>Die Bestimmungen des VE-</w:t>
      </w:r>
      <w:proofErr w:type="spellStart"/>
      <w:r w:rsidRPr="00A679BD">
        <w:rPr>
          <w:rFonts w:ascii="Arial" w:hAnsi="Arial" w:cs="Arial"/>
          <w:b/>
        </w:rPr>
        <w:t>InG</w:t>
      </w:r>
      <w:proofErr w:type="spellEnd"/>
      <w:r w:rsidRPr="00A679BD">
        <w:rPr>
          <w:rFonts w:ascii="Arial" w:hAnsi="Arial" w:cs="Arial"/>
          <w:b/>
        </w:rPr>
        <w:t xml:space="preserve"> mit Bezug auf das Wohnen müssen grundsätzlich überarbeitet werden.</w:t>
      </w:r>
    </w:p>
    <w:p w14:paraId="2F129458" w14:textId="77777777" w:rsidR="00A679BD" w:rsidRPr="00A679BD" w:rsidRDefault="00A679BD" w:rsidP="004C6A28">
      <w:pPr>
        <w:pStyle w:val="Textkrper"/>
        <w:numPr>
          <w:ilvl w:val="0"/>
          <w:numId w:val="23"/>
        </w:numPr>
        <w:pBdr>
          <w:top w:val="single" w:sz="4" w:space="1" w:color="auto"/>
          <w:left w:val="single" w:sz="4" w:space="4" w:color="auto"/>
          <w:bottom w:val="single" w:sz="4" w:space="1" w:color="auto"/>
          <w:right w:val="single" w:sz="4" w:space="4" w:color="auto"/>
        </w:pBdr>
        <w:shd w:val="clear" w:color="auto" w:fill="E5DFEC" w:themeFill="accent4" w:themeFillTint="33"/>
        <w:overflowPunct/>
        <w:autoSpaceDE/>
        <w:autoSpaceDN/>
        <w:adjustRightInd/>
        <w:spacing w:before="240" w:after="240" w:line="280" w:lineRule="exact"/>
        <w:ind w:left="284" w:hanging="284"/>
        <w:jc w:val="both"/>
        <w:textAlignment w:val="auto"/>
        <w:rPr>
          <w:rFonts w:ascii="Arial" w:hAnsi="Arial" w:cs="Arial"/>
          <w:b/>
        </w:rPr>
      </w:pPr>
      <w:r w:rsidRPr="00A679BD">
        <w:rPr>
          <w:rFonts w:ascii="Arial" w:hAnsi="Arial" w:cs="Arial"/>
          <w:b/>
        </w:rPr>
        <w:t xml:space="preserve">Im </w:t>
      </w:r>
      <w:proofErr w:type="spellStart"/>
      <w:r w:rsidRPr="00A679BD">
        <w:rPr>
          <w:rFonts w:ascii="Arial" w:hAnsi="Arial" w:cs="Arial"/>
          <w:b/>
        </w:rPr>
        <w:t>InG</w:t>
      </w:r>
      <w:proofErr w:type="spellEnd"/>
      <w:r w:rsidRPr="00A679BD">
        <w:rPr>
          <w:rFonts w:ascii="Arial" w:hAnsi="Arial" w:cs="Arial"/>
          <w:b/>
        </w:rPr>
        <w:t xml:space="preserve"> sind die nötigen Weichen zu stellen zur Klärung der Schnittstellen zwischen den unterschiedlichen Leistungen von Bund und Kantonen, zur Vereinheitlichung der Erhebungsinstrumente und zum Abbau der administrativen Hürden beim Zugang zu den Leistungen von Bund und Kantonen.</w:t>
      </w:r>
    </w:p>
    <w:p w14:paraId="76D1C470" w14:textId="77777777" w:rsidR="00A679BD" w:rsidRPr="00A679BD" w:rsidRDefault="00A679BD" w:rsidP="004C6A28">
      <w:pPr>
        <w:pStyle w:val="Textkrper"/>
        <w:numPr>
          <w:ilvl w:val="0"/>
          <w:numId w:val="23"/>
        </w:numPr>
        <w:pBdr>
          <w:top w:val="single" w:sz="4" w:space="1" w:color="auto"/>
          <w:left w:val="single" w:sz="4" w:space="4" w:color="auto"/>
          <w:bottom w:val="single" w:sz="4" w:space="1" w:color="auto"/>
          <w:right w:val="single" w:sz="4" w:space="4" w:color="auto"/>
        </w:pBdr>
        <w:shd w:val="clear" w:color="auto" w:fill="E5DFEC" w:themeFill="accent4" w:themeFillTint="33"/>
        <w:overflowPunct/>
        <w:autoSpaceDE/>
        <w:autoSpaceDN/>
        <w:adjustRightInd/>
        <w:spacing w:before="240" w:after="240" w:line="280" w:lineRule="exact"/>
        <w:ind w:left="284" w:hanging="284"/>
        <w:jc w:val="both"/>
        <w:textAlignment w:val="auto"/>
        <w:rPr>
          <w:rFonts w:ascii="Arial" w:hAnsi="Arial" w:cs="Arial"/>
          <w:b/>
          <w:bCs/>
        </w:rPr>
      </w:pPr>
      <w:r w:rsidRPr="00A679BD">
        <w:rPr>
          <w:rFonts w:ascii="Arial" w:hAnsi="Arial" w:cs="Arial"/>
          <w:b/>
          <w:bCs/>
        </w:rPr>
        <w:t xml:space="preserve">Im </w:t>
      </w:r>
      <w:proofErr w:type="spellStart"/>
      <w:r w:rsidRPr="00A679BD">
        <w:rPr>
          <w:rFonts w:ascii="Arial" w:hAnsi="Arial" w:cs="Arial"/>
          <w:b/>
          <w:bCs/>
        </w:rPr>
        <w:t>InG</w:t>
      </w:r>
      <w:proofErr w:type="spellEnd"/>
      <w:r w:rsidRPr="00A679BD">
        <w:rPr>
          <w:rFonts w:ascii="Arial" w:hAnsi="Arial" w:cs="Arial"/>
          <w:b/>
          <w:bCs/>
        </w:rPr>
        <w:t xml:space="preserve"> ist der Übergang zwischen dem Leben in Institutionen (4. Abschnitt) und dem selbstbestimmten Wohnen (3. Abschnitt) klar und verbindlich festzuhalten. Insbesondere ist eine Verpflichtung zur Planung des Übergangs von der objektorientierten zur bedarfsorientierten Finanzierung einzuführen.</w:t>
      </w:r>
    </w:p>
    <w:p w14:paraId="4C1126AB" w14:textId="77777777" w:rsidR="00716684" w:rsidRPr="00E36FE7" w:rsidRDefault="00716684" w:rsidP="00E36FE7">
      <w:pPr>
        <w:pStyle w:val="berschrift2"/>
        <w:spacing w:before="480"/>
        <w:rPr>
          <w:rFonts w:ascii="Arial" w:hAnsi="Arial" w:cs="Arial"/>
          <w:b/>
          <w:color w:val="auto"/>
          <w:sz w:val="24"/>
          <w:szCs w:val="24"/>
        </w:rPr>
      </w:pPr>
      <w:bookmarkStart w:id="66" w:name="_Toc210903228"/>
      <w:r w:rsidRPr="00E36FE7">
        <w:rPr>
          <w:rFonts w:ascii="Arial" w:hAnsi="Arial" w:cs="Arial"/>
          <w:b/>
          <w:color w:val="auto"/>
          <w:sz w:val="24"/>
          <w:szCs w:val="24"/>
        </w:rPr>
        <w:t>3.8 Fehlen der Grundlage für einen Behindertenausweis</w:t>
      </w:r>
      <w:bookmarkEnd w:id="65"/>
      <w:bookmarkEnd w:id="66"/>
    </w:p>
    <w:p w14:paraId="6B80F035" w14:textId="4F7B674E" w:rsidR="00716684" w:rsidRPr="00716684" w:rsidRDefault="00716684" w:rsidP="00716684">
      <w:pPr>
        <w:spacing w:before="240" w:after="240" w:line="259" w:lineRule="auto"/>
        <w:jc w:val="both"/>
      </w:pPr>
      <w:r w:rsidRPr="00716684">
        <w:t xml:space="preserve">In der Schweiz fehlt ein offizieller Behindertenausweis analog der EU Disability Card, welcher auch in der EU anerkannt wird. Zurzeit erarbeitet der Bundesrat in Erfüllung des Postulates </w:t>
      </w:r>
      <w:hyperlink r:id="rId13" w:history="1">
        <w:r w:rsidRPr="00716684">
          <w:rPr>
            <w:rStyle w:val="Hyperlink"/>
          </w:rPr>
          <w:t>24.3324</w:t>
        </w:r>
      </w:hyperlink>
      <w:r w:rsidRPr="00716684">
        <w:t xml:space="preserve"> einen Bericht unter welchen Voraussetzungen eine Anpassung an die Entwicklung in der EU wünschenswert wäre und welche Konsequenzen damit verbunden wären.</w:t>
      </w:r>
    </w:p>
    <w:p w14:paraId="24B88916" w14:textId="77777777" w:rsidR="00A679BD" w:rsidRPr="00A679BD" w:rsidRDefault="00A679BD" w:rsidP="00A679BD">
      <w:pPr>
        <w:pStyle w:val="Textkrper"/>
        <w:spacing w:before="240" w:after="240"/>
        <w:rPr>
          <w:rFonts w:ascii="Arial" w:hAnsi="Arial" w:cs="Arial"/>
          <w:b/>
          <w:bCs/>
          <w:lang w:eastAsia="de-CH"/>
        </w:rPr>
      </w:pPr>
      <w:bookmarkStart w:id="67" w:name="_Toc210057849"/>
      <w:r w:rsidRPr="00A679BD">
        <w:rPr>
          <w:rFonts w:ascii="Arial" w:hAnsi="Arial" w:cs="Arial"/>
          <w:b/>
          <w:bCs/>
          <w:lang w:eastAsia="de-CH"/>
        </w:rPr>
        <w:t>Wir fordern daher:</w:t>
      </w:r>
    </w:p>
    <w:p w14:paraId="1C20FB1E" w14:textId="6CB97C7C" w:rsidR="00A679BD" w:rsidRPr="00A679BD" w:rsidRDefault="00A679BD" w:rsidP="00A679BD">
      <w:pPr>
        <w:pStyle w:val="Textkrper"/>
        <w:pBdr>
          <w:top w:val="single" w:sz="4" w:space="1" w:color="auto"/>
          <w:left w:val="single" w:sz="4" w:space="4" w:color="auto"/>
          <w:bottom w:val="single" w:sz="4" w:space="1" w:color="auto"/>
          <w:right w:val="single" w:sz="4" w:space="4" w:color="auto"/>
        </w:pBdr>
        <w:shd w:val="clear" w:color="auto" w:fill="E5DFEC" w:themeFill="accent4" w:themeFillTint="33"/>
        <w:spacing w:before="240" w:after="240"/>
        <w:rPr>
          <w:rFonts w:ascii="Arial" w:hAnsi="Arial" w:cs="Arial"/>
          <w:b/>
          <w:bCs/>
        </w:rPr>
      </w:pPr>
      <w:r w:rsidRPr="00A679BD">
        <w:rPr>
          <w:rFonts w:ascii="Arial" w:hAnsi="Arial" w:cs="Arial"/>
          <w:b/>
          <w:bCs/>
        </w:rPr>
        <w:t>Es ist eine gesetzliche Grundlage für einen Behindertenausweis zu schaffen</w:t>
      </w:r>
      <w:r>
        <w:rPr>
          <w:rFonts w:ascii="Arial" w:hAnsi="Arial" w:cs="Arial"/>
          <w:b/>
          <w:bCs/>
        </w:rPr>
        <w:t>.</w:t>
      </w:r>
    </w:p>
    <w:p w14:paraId="23EE8287" w14:textId="77777777" w:rsidR="00716684" w:rsidRPr="00716684" w:rsidRDefault="00716684" w:rsidP="00E36FE7">
      <w:pPr>
        <w:pStyle w:val="berschrift1"/>
        <w:spacing w:before="720"/>
      </w:pPr>
      <w:bookmarkStart w:id="68" w:name="_Toc210903229"/>
      <w:r w:rsidRPr="00716684">
        <w:lastRenderedPageBreak/>
        <w:t>4. Zum VE-Teilrevision IVG</w:t>
      </w:r>
      <w:bookmarkEnd w:id="37"/>
      <w:bookmarkEnd w:id="38"/>
      <w:bookmarkEnd w:id="39"/>
      <w:bookmarkEnd w:id="40"/>
      <w:bookmarkEnd w:id="67"/>
      <w:bookmarkEnd w:id="68"/>
    </w:p>
    <w:p w14:paraId="10124B37" w14:textId="77777777" w:rsidR="00716684" w:rsidRPr="00E36FE7" w:rsidRDefault="00716684" w:rsidP="00E36FE7">
      <w:pPr>
        <w:pStyle w:val="berschrift2"/>
        <w:spacing w:before="480"/>
        <w:rPr>
          <w:rFonts w:ascii="Arial" w:hAnsi="Arial" w:cs="Arial"/>
          <w:b/>
          <w:color w:val="auto"/>
          <w:sz w:val="24"/>
          <w:szCs w:val="24"/>
        </w:rPr>
      </w:pPr>
      <w:bookmarkStart w:id="69" w:name="_Toc210057850"/>
      <w:bookmarkStart w:id="70" w:name="_Toc210903230"/>
      <w:bookmarkEnd w:id="29"/>
      <w:r w:rsidRPr="00E36FE7">
        <w:rPr>
          <w:rFonts w:ascii="Arial" w:hAnsi="Arial" w:cs="Arial"/>
          <w:b/>
          <w:color w:val="auto"/>
          <w:sz w:val="24"/>
          <w:szCs w:val="24"/>
        </w:rPr>
        <w:t>4.1 Einleitung</w:t>
      </w:r>
      <w:bookmarkEnd w:id="69"/>
      <w:bookmarkEnd w:id="70"/>
    </w:p>
    <w:p w14:paraId="219511AE" w14:textId="22E98753" w:rsidR="00716684" w:rsidRPr="00716684" w:rsidRDefault="00716684" w:rsidP="00716684">
      <w:pPr>
        <w:spacing w:before="240" w:after="240" w:line="259" w:lineRule="auto"/>
        <w:jc w:val="both"/>
      </w:pPr>
      <w:r w:rsidRPr="00716684">
        <w:t xml:space="preserve">Die vom Bundesrat im Vorentwurf vorgeschlagenen Änderungen des IVG reichen bei Weitem nicht aus, um den Anliegen der Inklusions-Initiative Rechnung zu tragen. Bis auf den begrüssenswerten generellen </w:t>
      </w:r>
    </w:p>
    <w:p w14:paraId="222B547E" w14:textId="7E93ABFF" w:rsidR="00716684" w:rsidRPr="00716684" w:rsidRDefault="00716684" w:rsidP="00716684">
      <w:pPr>
        <w:spacing w:before="240" w:after="240" w:line="259" w:lineRule="auto"/>
        <w:jc w:val="both"/>
      </w:pPr>
      <w:r w:rsidRPr="00716684">
        <w:t>Zugang zum Assistenzbeitrag für Personen mit eingeschränkter Handlungsfähigkeit (Aufhebung von Art. 42quater Abs. 2 IVG) und der ebenfalls positiv zu wertenden Möglichkeit von Pilotversuchen (Änderung von Art. 68quater IVG), haben sie ihre Grundlage zudem praktisch ausschliesslich in bereits überwiesenen Vorstössen.</w:t>
      </w:r>
    </w:p>
    <w:p w14:paraId="1F94F45C" w14:textId="77777777" w:rsidR="00A679BD" w:rsidRDefault="00716684" w:rsidP="00716684">
      <w:pPr>
        <w:spacing w:before="240" w:after="240" w:line="259" w:lineRule="auto"/>
        <w:jc w:val="both"/>
      </w:pPr>
      <w:r w:rsidRPr="00716684">
        <w:t xml:space="preserve">Ebenfalls positiv erachten wir die im Rahmen der nächsten Revision der IVV in Aussicht gestellte Möglichkeit für Arbeitgebende, für Versicherte ein </w:t>
      </w:r>
      <w:proofErr w:type="gramStart"/>
      <w:r w:rsidRPr="00716684">
        <w:t>Gesuch</w:t>
      </w:r>
      <w:proofErr w:type="gramEnd"/>
      <w:r w:rsidRPr="00716684">
        <w:t xml:space="preserve"> um Hilfsmittel am Arbeitsplatz einzureichen (in Umsetzung der Motion Lohr: 21.4089). </w:t>
      </w:r>
    </w:p>
    <w:p w14:paraId="01C62A44" w14:textId="184FA0C7" w:rsidR="00716684" w:rsidRPr="00716684" w:rsidRDefault="00716684" w:rsidP="00716684">
      <w:pPr>
        <w:spacing w:before="240" w:after="240" w:line="259" w:lineRule="auto"/>
        <w:jc w:val="both"/>
      </w:pPr>
      <w:r w:rsidRPr="00716684">
        <w:t xml:space="preserve">Bei den vorgeschlagenen Änderungen und Neuerungen zu Art. 21quater Abs. 2 und 3, Art. 21quinquies und Art. 21sexies IVG besteht hingegen sogar die Gefahr von Rückschritten für Menschen mit Behinderungen; etwa durch die Beschränkung der Austauschbefugnis auf Hilfsmittel, die von Anbietern stammen, mit denen im Rahmen des Vergabeverfahrens ein Vertrag abgeschlossen wurde. Oder auch weil der Zugang zu Hilfsmitteln durch neue bürokratische Hürden oder längere Verfahren sogar erschwert wird und durch die Vergabeverfahren eine Monopolbildung nicht </w:t>
      </w:r>
      <w:proofErr w:type="gramStart"/>
      <w:r w:rsidRPr="00716684">
        <w:t>verhindert</w:t>
      </w:r>
      <w:proofErr w:type="gramEnd"/>
      <w:r w:rsidRPr="00716684">
        <w:t xml:space="preserve"> werden kann.</w:t>
      </w:r>
    </w:p>
    <w:p w14:paraId="2A501818" w14:textId="77777777" w:rsidR="00716684" w:rsidRPr="00716684" w:rsidRDefault="00716684" w:rsidP="00716684">
      <w:pPr>
        <w:spacing w:before="240" w:after="240" w:line="259" w:lineRule="auto"/>
        <w:jc w:val="both"/>
      </w:pPr>
      <w:r w:rsidRPr="00716684">
        <w:t>Die Invalidenversicherung richtet heute Hilflosenentschädigungen aus und finanziert unter gewissen Bedingungen einen Assistenzbeitrag sowie Hilfsmittel und Dienstleistungen Dritter. Der Assistenzbeitrag hat sich in den letzten Jahren etabliert und ist ein wichtiges Instrument, um die selbstbestimmte Lebensführung sicherzustellen. Angesichts der gemachten Erfahrungen ist es nun an der Zeit, das Modell zu optimieren und zu ergänzen. Zudem braucht es beim Anspruch auf eine Hilflosenentschädigung, welcher eine Grundvoraussetzung für den Assistenzbeitrag ist, eine Ausweitung auf schwerhörige und gehörlose Erwachsene und auf Menschen mit einer psychischen Beeinträchtigung. Und auch bei den Hilfsmitteln und den Dienstleistungen Dritter sind substanzielle Verbesserungen nötig.</w:t>
      </w:r>
    </w:p>
    <w:p w14:paraId="5DB91CB2" w14:textId="77777777" w:rsidR="00716684" w:rsidRPr="00716684" w:rsidRDefault="00716684" w:rsidP="00716684">
      <w:pPr>
        <w:spacing w:before="240" w:after="240" w:line="259" w:lineRule="auto"/>
        <w:jc w:val="both"/>
      </w:pPr>
      <w:r w:rsidRPr="00716684">
        <w:t xml:space="preserve">Zu den erwähnten notwendigen Verbesserungen gibt es zudem bereits überwiesene bzw. von den zuständigen Kommissionen bejahte parlamentarische Vorstösse, die es im Rahmen des Gegenvorschlags umzusetzen bzw. zu berücksichtigen gilt: </w:t>
      </w:r>
    </w:p>
    <w:p w14:paraId="218ED08D" w14:textId="77777777" w:rsidR="00716684" w:rsidRPr="00716684" w:rsidRDefault="00716684" w:rsidP="00B533C5">
      <w:pPr>
        <w:numPr>
          <w:ilvl w:val="0"/>
          <w:numId w:val="26"/>
        </w:numPr>
        <w:spacing w:before="120" w:after="120" w:line="259" w:lineRule="auto"/>
        <w:jc w:val="both"/>
      </w:pPr>
      <w:proofErr w:type="spellStart"/>
      <w:r w:rsidRPr="00716684">
        <w:t>Pa.iv</w:t>
      </w:r>
      <w:proofErr w:type="spellEnd"/>
      <w:r w:rsidRPr="00716684">
        <w:t xml:space="preserve">. Lohr </w:t>
      </w:r>
      <w:hyperlink r:id="rId14" w:history="1">
        <w:r w:rsidRPr="00716684">
          <w:rPr>
            <w:rStyle w:val="Hyperlink"/>
          </w:rPr>
          <w:t>12.409</w:t>
        </w:r>
      </w:hyperlink>
      <w:r w:rsidRPr="00716684">
        <w:t>: Entschädigung von Hilfeleistungen von Angehörigen im Rahmen des Assistenzbeitrages</w:t>
      </w:r>
    </w:p>
    <w:p w14:paraId="7EE37CAC" w14:textId="77777777" w:rsidR="00716684" w:rsidRPr="00716684" w:rsidRDefault="00716684" w:rsidP="00B533C5">
      <w:pPr>
        <w:numPr>
          <w:ilvl w:val="0"/>
          <w:numId w:val="26"/>
        </w:numPr>
        <w:spacing w:before="120" w:after="120" w:line="259" w:lineRule="auto"/>
        <w:jc w:val="both"/>
      </w:pPr>
      <w:r w:rsidRPr="00716684">
        <w:t xml:space="preserve">Mo. SGK-N </w:t>
      </w:r>
      <w:hyperlink r:id="rId15" w:history="1">
        <w:r w:rsidRPr="00716684">
          <w:rPr>
            <w:rStyle w:val="Hyperlink"/>
          </w:rPr>
          <w:t>22.4261</w:t>
        </w:r>
      </w:hyperlink>
      <w:r w:rsidRPr="00716684">
        <w:t>: Ambulant vor stationär für Menschen mit Behinderung nach Erreichen des AHV-Alters durch eine "smarte" Auswahl an Hilfsmitteln</w:t>
      </w:r>
    </w:p>
    <w:p w14:paraId="7832CF50" w14:textId="77777777" w:rsidR="00716684" w:rsidRPr="00716684" w:rsidRDefault="00716684" w:rsidP="00B533C5">
      <w:pPr>
        <w:numPr>
          <w:ilvl w:val="0"/>
          <w:numId w:val="26"/>
        </w:numPr>
        <w:spacing w:before="120" w:after="120" w:line="259" w:lineRule="auto"/>
        <w:jc w:val="both"/>
      </w:pPr>
      <w:r w:rsidRPr="00716684">
        <w:t xml:space="preserve">Po. SGK-N </w:t>
      </w:r>
      <w:hyperlink r:id="rId16" w:history="1">
        <w:r w:rsidRPr="00716684">
          <w:rPr>
            <w:rStyle w:val="Hyperlink"/>
          </w:rPr>
          <w:t>22.4262</w:t>
        </w:r>
      </w:hyperlink>
      <w:r w:rsidRPr="00716684">
        <w:t>: Ambulant vor stationär für Menschen mit Behinderung nach Erreichen des AHV-Alters durch Zugang zu Assistenzbeiträgen</w:t>
      </w:r>
    </w:p>
    <w:p w14:paraId="50482194" w14:textId="77777777" w:rsidR="00716684" w:rsidRPr="00716684" w:rsidRDefault="00716684" w:rsidP="00B533C5">
      <w:pPr>
        <w:numPr>
          <w:ilvl w:val="0"/>
          <w:numId w:val="26"/>
        </w:numPr>
        <w:spacing w:before="120" w:after="120" w:line="259" w:lineRule="auto"/>
        <w:jc w:val="both"/>
      </w:pPr>
      <w:r w:rsidRPr="00716684">
        <w:lastRenderedPageBreak/>
        <w:t xml:space="preserve">Mo. SGK-S </w:t>
      </w:r>
      <w:hyperlink r:id="rId17" w:history="1">
        <w:r w:rsidRPr="00716684">
          <w:rPr>
            <w:rStyle w:val="Hyperlink"/>
          </w:rPr>
          <w:t>25.3013</w:t>
        </w:r>
      </w:hyperlink>
      <w:r w:rsidRPr="00716684">
        <w:t xml:space="preserve">: Kostenübernahme für </w:t>
      </w:r>
      <w:proofErr w:type="spellStart"/>
      <w:r w:rsidRPr="00716684">
        <w:t>Gebärdensprachdolmetschleistungen</w:t>
      </w:r>
      <w:proofErr w:type="spellEnd"/>
      <w:r w:rsidRPr="00716684">
        <w:t xml:space="preserve"> im Gesundheitswesen</w:t>
      </w:r>
    </w:p>
    <w:p w14:paraId="7A3D0BCB" w14:textId="77777777" w:rsidR="00716684" w:rsidRPr="00716684" w:rsidRDefault="00716684" w:rsidP="00716684">
      <w:pPr>
        <w:spacing w:before="240" w:after="240" w:line="259" w:lineRule="auto"/>
        <w:jc w:val="both"/>
      </w:pPr>
      <w:r w:rsidRPr="00716684">
        <w:t xml:space="preserve">Auch der vom Nationalrat angenommenen, vom Ständerat aber noch nicht behandelten Mo. SGK-N </w:t>
      </w:r>
      <w:hyperlink r:id="rId18" w:history="1">
        <w:r w:rsidRPr="00716684">
          <w:rPr>
            <w:rStyle w:val="Hyperlink"/>
          </w:rPr>
          <w:t>25.3007</w:t>
        </w:r>
      </w:hyperlink>
      <w:r w:rsidRPr="00716684">
        <w:t xml:space="preserve"> (Menschen mit Behinderungen in Härtefällen am Arbeitsplatz besser unterstützen) ist Rechnung zu tragen. </w:t>
      </w:r>
    </w:p>
    <w:p w14:paraId="12FA7391" w14:textId="77777777" w:rsidR="00716684" w:rsidRPr="00E36FE7" w:rsidRDefault="00716684" w:rsidP="00E36FE7">
      <w:pPr>
        <w:pStyle w:val="berschrift2"/>
        <w:spacing w:before="480"/>
        <w:rPr>
          <w:rFonts w:ascii="Arial" w:hAnsi="Arial" w:cs="Arial"/>
          <w:b/>
          <w:color w:val="auto"/>
          <w:sz w:val="24"/>
          <w:szCs w:val="24"/>
        </w:rPr>
      </w:pPr>
      <w:bookmarkStart w:id="71" w:name="_Toc210057851"/>
      <w:bookmarkStart w:id="72" w:name="_Toc210903231"/>
      <w:r w:rsidRPr="00E36FE7">
        <w:rPr>
          <w:rFonts w:ascii="Arial" w:hAnsi="Arial" w:cs="Arial"/>
          <w:b/>
          <w:color w:val="auto"/>
          <w:sz w:val="24"/>
          <w:szCs w:val="24"/>
        </w:rPr>
        <w:t>4.2 Assistenzbeitrag: Verbesserung des Zugangs</w:t>
      </w:r>
      <w:bookmarkEnd w:id="71"/>
      <w:bookmarkEnd w:id="72"/>
    </w:p>
    <w:p w14:paraId="2D304F3A" w14:textId="77777777" w:rsidR="00716684" w:rsidRPr="00716684" w:rsidRDefault="00716684" w:rsidP="00716684">
      <w:pPr>
        <w:spacing w:before="240" w:after="240" w:line="259" w:lineRule="auto"/>
        <w:jc w:val="both"/>
      </w:pPr>
      <w:r w:rsidRPr="00716684">
        <w:t>Im Jahr 2024 haben rund 5’000 Personen einen Assistenzbeitrag bezogen. Eine sehr bescheidene Anzahl, leben in der Schweiz doch über 1.9 Millionen Menschen mit Behinderungen. Soll der Assistenzbeitrag für mehr Menschen mit Behinderungen zu einer selbstbestimmten Lebensführung beitragen, muss der Zugang deutlich verbessert werden, denn heute sind viele Menschen mit Behinderungen vom Assistenzbeitrag ausgenommen.</w:t>
      </w:r>
    </w:p>
    <w:p w14:paraId="315C3DD6" w14:textId="77777777" w:rsidR="00716684" w:rsidRPr="00716684" w:rsidRDefault="00716684" w:rsidP="00716684">
      <w:pPr>
        <w:spacing w:before="240" w:after="240" w:line="259" w:lineRule="auto"/>
        <w:jc w:val="both"/>
      </w:pPr>
      <w:r w:rsidRPr="00716684">
        <w:t xml:space="preserve">Das aktuell gemäss Kreisschreiben über den Assistenzbeitrag (KSAB) angewendete Bedarfsabklärungsinstrument FAKT </w:t>
      </w:r>
      <w:r w:rsidRPr="00716684">
        <w:rPr>
          <w:lang w:val="de-DE"/>
        </w:rPr>
        <w:t xml:space="preserve">ist stark standardisiert, baut vorwiegend auf geschlossenen Fragestellungen auf und </w:t>
      </w:r>
      <w:r w:rsidRPr="00716684">
        <w:t xml:space="preserve">ist daher auf Personen mit einer körperlichen Beeinträchtigung ausgerichtet. </w:t>
      </w:r>
      <w:r w:rsidRPr="00716684">
        <w:rPr>
          <w:lang w:val="de-DE"/>
        </w:rPr>
        <w:t>Behinderungsspezifische Notwendigkeiten können nicht berücksichtigt werden, so dass de</w:t>
      </w:r>
      <w:r w:rsidRPr="00716684">
        <w:t>r tatsächliche Assistenzbedarf von Personen mit einer Sinnesbehinderung und von Menschen mit einer kognitiven Beeinträchtigung mit FAKT nicht adäquat erfasst und abgeklärt werden kann. Demgegenüber werden durch die von den Kantonen verwendeten Abklärungsinstrumente wie z.B. der “individuelle Hilfeplan (IHP)” oder der “St. Galler Unterstützungsplan (SUP siehe Punkt 4.4)” überzeugende und nachvollziehbare Abklärungsergebnisse erzielt. Zudem ist es sinnvoll, wenn auf allen Ebenen ein einheitliches Abklärungsinstrument angewendet wird. Das KSAB ist daher entsprechend anzupassen, auf das Bedarfsabklärungsinstrument FAKT ist zu verzichten und es ist dringend ein neues Abklärungsinstrument (z.B. individuelle Hilfeplan, IHP) einzusetzen.</w:t>
      </w:r>
      <w:r w:rsidRPr="00716684">
        <w:rPr>
          <w:vertAlign w:val="superscript"/>
        </w:rPr>
        <w:footnoteReference w:id="49"/>
      </w:r>
    </w:p>
    <w:p w14:paraId="3ABD0572" w14:textId="77777777" w:rsidR="00716684" w:rsidRPr="00716684" w:rsidRDefault="00716684" w:rsidP="00716684">
      <w:pPr>
        <w:spacing w:before="240" w:after="240" w:line="259" w:lineRule="auto"/>
        <w:jc w:val="both"/>
      </w:pPr>
      <w:r w:rsidRPr="00716684">
        <w:t>Analog zur Hilflosenentschädigung im Sonderfall, rechtfertigt sich für Personen mit einer Sinnesbehinderung zudem ein spezifisch auf sie ausgerichteter Anspruch auf einen Assistenzbeitrag im Sonderfall. Entsprechend ist das IVG zu ändern und es ist ein Anspruch auf einen Assistenzbeitrag im Sonderfall zu gewähren.</w:t>
      </w:r>
    </w:p>
    <w:p w14:paraId="0086C3EE" w14:textId="77777777" w:rsidR="00716684" w:rsidRPr="00716684" w:rsidRDefault="00716684" w:rsidP="00716684">
      <w:pPr>
        <w:spacing w:before="240" w:after="240" w:line="259" w:lineRule="auto"/>
        <w:jc w:val="both"/>
      </w:pPr>
      <w:r w:rsidRPr="00716684">
        <w:t xml:space="preserve">Personen, die aufgrund der Verschlechterung ihres Gesundheitszustandes erst nach Erreichen des AHV-Referenzalters auf umfassendere Unterstützungsleistungen angewiesen sind, haben heute keinen Anspruch auf einen Assistenzbeitrag. Und auch Personen, die eine Hilflosenentschädigung der Unfallversicherung oder der Militärversicherung erhalten, welche gestützt auf Art. 66 Abs. 2 ATSG der Ausrichtung einer Hilflosenentschädigung der IV vorgeht, haben heute keinen Zugang zu einem Assistenzbeitrag, da hierfür eben gerade eine Hilflosenentschädigung der IV vorausgesetzt ist. </w:t>
      </w:r>
      <w:r w:rsidRPr="00716684">
        <w:lastRenderedPageBreak/>
        <w:t>Es drängt sich daher eine Änderung der Gesetzesbestimmungen im IVG, AHVG und UVG auf.</w:t>
      </w:r>
    </w:p>
    <w:p w14:paraId="4D1728F3" w14:textId="77777777" w:rsidR="00716684" w:rsidRPr="00716684" w:rsidRDefault="00716684" w:rsidP="00716684">
      <w:pPr>
        <w:spacing w:before="240" w:after="240" w:line="259" w:lineRule="auto"/>
        <w:jc w:val="both"/>
      </w:pPr>
      <w:r w:rsidRPr="00716684">
        <w:t>Ebenfalls keinen Anspruch auf einen Assistenzbeitrag haben heute schwerhörige und gehörlose Erwachsene, denn sie haben gemäss den Ausführungen im Kreisschreiben über Hilflosigkeit (KSH) grundsätzlich keinen Anspruch auf eine Hilflosenentschädigung und sind daher ebenfalls vom Assistenzbeitrag ausgeschlossen. Dies ist mittels einer Anpassung im KSH dringend zu korrigieren.</w:t>
      </w:r>
    </w:p>
    <w:p w14:paraId="0C8AC18E" w14:textId="77777777" w:rsidR="00716684" w:rsidRPr="00716684" w:rsidRDefault="00716684" w:rsidP="00716684">
      <w:pPr>
        <w:spacing w:before="240" w:after="240" w:line="259" w:lineRule="auto"/>
        <w:jc w:val="both"/>
      </w:pPr>
      <w:r w:rsidRPr="00716684">
        <w:t>Ein weiteres Problem zeigt sich bei Menschen mit einer psychischen Beeinträchtigung. Wenn sie keinen Anspruch auf eine IV-Rente haben, so haben sie auch keinen Anspruch auf eine Hilflosenentschädigung für lebenspraktische Begleitung (vgl. Art. 42 Abs. 3 IVG). Dadurch sind sie teilweise ebenfalls vom Assistenzbeitrag ausgeschlossen. Damit auch sie Zugang zum Assistenzbeitrag haben, ist auf die Voraussetzung des Rentenanspruchs in Art. 42 Abs. 3 IVG zu verzichten.</w:t>
      </w:r>
    </w:p>
    <w:p w14:paraId="42302A45" w14:textId="77777777" w:rsidR="00716684" w:rsidRPr="00716684" w:rsidRDefault="00716684" w:rsidP="00716684">
      <w:pPr>
        <w:spacing w:before="240" w:after="240" w:line="259" w:lineRule="auto"/>
        <w:jc w:val="both"/>
      </w:pPr>
      <w:r w:rsidRPr="00716684">
        <w:t>Auch dem Assistenzbedarf von Minderjährigen muss besser Rechnung getragen werden. Heute haben Minderjährige gestützt auf Art. 42</w:t>
      </w:r>
      <w:r w:rsidRPr="00716684">
        <w:rPr>
          <w:vertAlign w:val="superscript"/>
        </w:rPr>
        <w:t>quater</w:t>
      </w:r>
      <w:r w:rsidRPr="00716684">
        <w:t xml:space="preserve"> IVG und Art. 39a IVV nur unter sehr strengen Voraussetzungen Anspruch auf einen Assistenzbeitrag. Damit beim Übergang in das Erwachsenenalter aber selbstbestimmt auf ein bereits etabliertes Unterstützungssetting zurückgegriffen und somit ein Heimeintritt vermieden werden kann, müssen auch Minderjährige ohne zusätzliche Voraussetzungen Anspruch auf einen Assistenzbeitrag haben. </w:t>
      </w:r>
    </w:p>
    <w:p w14:paraId="4CD2700F" w14:textId="77777777" w:rsidR="00716684" w:rsidRPr="00716684" w:rsidRDefault="00716684" w:rsidP="00716684">
      <w:pPr>
        <w:spacing w:before="240" w:after="240" w:line="259" w:lineRule="auto"/>
        <w:jc w:val="both"/>
        <w:rPr>
          <w:b/>
          <w:bCs/>
        </w:rPr>
      </w:pPr>
      <w:r w:rsidRPr="00716684">
        <w:rPr>
          <w:b/>
          <w:bCs/>
        </w:rPr>
        <w:t>Will man den Anliegen der Inklusions-Initiative ausreichend Rechnung tragen, müssen auch Personen, die heute vom Assistenzbeitrag ganz oder teilweise ausgeschlossen sind, ein entsprechender Anspruch gewährt werden. Es braucht dringend einen verbesserten Zugang zum Assistenzbeitrag.</w:t>
      </w:r>
    </w:p>
    <w:p w14:paraId="6E88802E" w14:textId="77777777" w:rsidR="00A679BD" w:rsidRPr="00A679BD" w:rsidRDefault="00A679BD" w:rsidP="00A679BD">
      <w:pPr>
        <w:pStyle w:val="Textkrper"/>
        <w:spacing w:before="240" w:after="240"/>
        <w:rPr>
          <w:rFonts w:ascii="Arial" w:hAnsi="Arial" w:cs="Arial"/>
          <w:b/>
          <w:bCs/>
        </w:rPr>
      </w:pPr>
      <w:r w:rsidRPr="00A679BD">
        <w:rPr>
          <w:rFonts w:ascii="Arial" w:hAnsi="Arial" w:cs="Arial"/>
          <w:b/>
          <w:bCs/>
        </w:rPr>
        <w:t xml:space="preserve">Wir fordern daher: </w:t>
      </w:r>
    </w:p>
    <w:p w14:paraId="05AA5063" w14:textId="77777777" w:rsidR="00A679BD" w:rsidRPr="00A679BD" w:rsidRDefault="00A679BD" w:rsidP="00A679BD">
      <w:pPr>
        <w:pStyle w:val="Textkrper"/>
        <w:numPr>
          <w:ilvl w:val="0"/>
          <w:numId w:val="24"/>
        </w:numPr>
        <w:pBdr>
          <w:top w:val="single" w:sz="4" w:space="1" w:color="auto"/>
          <w:left w:val="single" w:sz="4" w:space="4" w:color="auto"/>
          <w:bottom w:val="single" w:sz="4" w:space="1" w:color="auto"/>
          <w:right w:val="single" w:sz="4" w:space="4" w:color="auto"/>
        </w:pBdr>
        <w:shd w:val="clear" w:color="auto" w:fill="E5DFEC" w:themeFill="accent4" w:themeFillTint="33"/>
        <w:overflowPunct/>
        <w:autoSpaceDE/>
        <w:autoSpaceDN/>
        <w:adjustRightInd/>
        <w:spacing w:before="240" w:after="240" w:line="280" w:lineRule="exact"/>
        <w:jc w:val="both"/>
        <w:textAlignment w:val="auto"/>
        <w:rPr>
          <w:rFonts w:ascii="Arial" w:hAnsi="Arial" w:cs="Arial"/>
          <w:b/>
          <w:bCs/>
          <w:lang w:eastAsia="de-CH"/>
        </w:rPr>
      </w:pPr>
      <w:bookmarkStart w:id="73" w:name="_Hlk203056724"/>
      <w:r w:rsidRPr="00A679BD">
        <w:rPr>
          <w:rFonts w:ascii="Arial" w:hAnsi="Arial" w:cs="Arial"/>
          <w:b/>
          <w:bCs/>
          <w:lang w:eastAsia="de-CH"/>
        </w:rPr>
        <w:t>Der Anspruch auf einen Assistenzbeitrag ist auf folgende Personenkreise auszuweiten:</w:t>
      </w:r>
      <w:r w:rsidRPr="00A679BD">
        <w:rPr>
          <w:rFonts w:ascii="Arial" w:hAnsi="Arial" w:cs="Arial"/>
        </w:rPr>
        <w:tab/>
      </w:r>
      <w:r w:rsidRPr="00A679BD">
        <w:rPr>
          <w:rFonts w:ascii="Arial" w:hAnsi="Arial" w:cs="Arial"/>
        </w:rPr>
        <w:br/>
      </w:r>
      <w:r w:rsidRPr="00A679BD">
        <w:rPr>
          <w:rFonts w:ascii="Arial" w:hAnsi="Arial" w:cs="Arial"/>
          <w:b/>
          <w:bCs/>
          <w:lang w:eastAsia="de-CH"/>
        </w:rPr>
        <w:t>- Personen im AHV-Alter</w:t>
      </w:r>
      <w:bookmarkEnd w:id="73"/>
      <w:r w:rsidRPr="00A679BD">
        <w:rPr>
          <w:rFonts w:ascii="Arial" w:hAnsi="Arial" w:cs="Arial"/>
        </w:rPr>
        <w:tab/>
      </w:r>
      <w:r w:rsidRPr="00A679BD">
        <w:rPr>
          <w:rFonts w:ascii="Arial" w:hAnsi="Arial" w:cs="Arial"/>
        </w:rPr>
        <w:br/>
      </w:r>
      <w:r w:rsidRPr="00A679BD">
        <w:rPr>
          <w:rFonts w:ascii="Arial" w:hAnsi="Arial" w:cs="Arial"/>
          <w:b/>
          <w:bCs/>
          <w:lang w:eastAsia="de-CH"/>
        </w:rPr>
        <w:t>- Personen mit einer Hilflosenentschädigung der UV und der MV</w:t>
      </w:r>
      <w:r w:rsidRPr="00A679BD">
        <w:rPr>
          <w:rFonts w:ascii="Arial" w:hAnsi="Arial" w:cs="Arial"/>
        </w:rPr>
        <w:tab/>
      </w:r>
      <w:r w:rsidRPr="00A679BD">
        <w:rPr>
          <w:rFonts w:ascii="Arial" w:hAnsi="Arial" w:cs="Arial"/>
        </w:rPr>
        <w:br/>
      </w:r>
      <w:r w:rsidRPr="00A679BD">
        <w:rPr>
          <w:rFonts w:ascii="Arial" w:hAnsi="Arial" w:cs="Arial"/>
          <w:b/>
          <w:bCs/>
          <w:lang w:eastAsia="de-CH"/>
        </w:rPr>
        <w:t>- Minderjährige, die nicht unter Art. 39a IVV fallen</w:t>
      </w:r>
    </w:p>
    <w:p w14:paraId="71DA9A30" w14:textId="77777777" w:rsidR="00A679BD" w:rsidRPr="00A679BD" w:rsidRDefault="00A679BD" w:rsidP="00A679BD">
      <w:pPr>
        <w:pStyle w:val="Textkrper"/>
        <w:numPr>
          <w:ilvl w:val="0"/>
          <w:numId w:val="24"/>
        </w:numPr>
        <w:pBdr>
          <w:top w:val="single" w:sz="4" w:space="1" w:color="auto"/>
          <w:left w:val="single" w:sz="4" w:space="4" w:color="auto"/>
          <w:bottom w:val="single" w:sz="4" w:space="1" w:color="auto"/>
          <w:right w:val="single" w:sz="4" w:space="4" w:color="auto"/>
        </w:pBdr>
        <w:shd w:val="clear" w:color="auto" w:fill="E5DFEC" w:themeFill="accent4" w:themeFillTint="33"/>
        <w:overflowPunct/>
        <w:autoSpaceDE/>
        <w:autoSpaceDN/>
        <w:adjustRightInd/>
        <w:spacing w:before="240" w:after="240" w:line="280" w:lineRule="exact"/>
        <w:jc w:val="both"/>
        <w:textAlignment w:val="auto"/>
        <w:rPr>
          <w:rFonts w:ascii="Arial" w:hAnsi="Arial" w:cs="Arial"/>
          <w:b/>
          <w:bCs/>
          <w:lang w:eastAsia="de-CH"/>
        </w:rPr>
      </w:pPr>
      <w:r w:rsidRPr="00A679BD">
        <w:rPr>
          <w:rFonts w:ascii="Arial" w:hAnsi="Arial" w:cs="Arial"/>
          <w:b/>
          <w:bCs/>
          <w:lang w:eastAsia="de-CH"/>
        </w:rPr>
        <w:t xml:space="preserve">Auch schwerhörigen und gehörlosen Erwachsenen ist ein Anspruch auf eine Hilflosenentschädigung und damit auch ein grundsätzlicher Anspruch auf einen Assistenzbeitrag zu gewähren. </w:t>
      </w:r>
    </w:p>
    <w:p w14:paraId="6A5A146D" w14:textId="77777777" w:rsidR="00A679BD" w:rsidRPr="00A679BD" w:rsidRDefault="00A679BD" w:rsidP="00A679BD">
      <w:pPr>
        <w:pStyle w:val="Textkrper"/>
        <w:numPr>
          <w:ilvl w:val="0"/>
          <w:numId w:val="24"/>
        </w:numPr>
        <w:pBdr>
          <w:top w:val="single" w:sz="4" w:space="1" w:color="auto"/>
          <w:left w:val="single" w:sz="4" w:space="4" w:color="auto"/>
          <w:bottom w:val="single" w:sz="4" w:space="1" w:color="auto"/>
          <w:right w:val="single" w:sz="4" w:space="4" w:color="auto"/>
        </w:pBdr>
        <w:shd w:val="clear" w:color="auto" w:fill="E5DFEC" w:themeFill="accent4" w:themeFillTint="33"/>
        <w:overflowPunct/>
        <w:autoSpaceDE/>
        <w:autoSpaceDN/>
        <w:adjustRightInd/>
        <w:spacing w:before="240" w:after="240" w:line="280" w:lineRule="exact"/>
        <w:jc w:val="both"/>
        <w:textAlignment w:val="auto"/>
        <w:rPr>
          <w:rFonts w:ascii="Arial" w:eastAsia="Arial" w:hAnsi="Arial" w:cs="Arial"/>
          <w:color w:val="1E1E1E"/>
          <w:sz w:val="22"/>
        </w:rPr>
      </w:pPr>
      <w:r w:rsidRPr="00A679BD">
        <w:rPr>
          <w:rFonts w:ascii="Arial" w:hAnsi="Arial" w:cs="Arial"/>
          <w:b/>
          <w:bCs/>
          <w:lang w:eastAsia="de-CH"/>
        </w:rPr>
        <w:t>Perso</w:t>
      </w:r>
      <w:r w:rsidRPr="00A679BD">
        <w:rPr>
          <w:rFonts w:ascii="Arial" w:hAnsi="Arial" w:cs="Arial"/>
          <w:b/>
          <w:lang w:eastAsia="de-CH"/>
        </w:rPr>
        <w:t xml:space="preserve">nen mit einer </w:t>
      </w:r>
      <w:r w:rsidRPr="00A679BD">
        <w:rPr>
          <w:rFonts w:ascii="Arial" w:eastAsia="Arial" w:hAnsi="Arial" w:cs="Arial"/>
          <w:b/>
          <w:color w:val="1E1E1E"/>
        </w:rPr>
        <w:t>psychischen Beeinträchtigung ist auch ohne IV-Rentenanspruch eine</w:t>
      </w:r>
      <w:r w:rsidRPr="00A679BD">
        <w:rPr>
          <w:rFonts w:ascii="Arial" w:eastAsia="Arial" w:hAnsi="Arial" w:cs="Arial"/>
          <w:b/>
        </w:rPr>
        <w:t xml:space="preserve"> </w:t>
      </w:r>
      <w:r w:rsidRPr="00A679BD">
        <w:rPr>
          <w:rFonts w:ascii="Arial" w:eastAsia="Arial" w:hAnsi="Arial" w:cs="Arial"/>
          <w:b/>
          <w:bCs/>
          <w:color w:val="1E1E1E"/>
        </w:rPr>
        <w:t>Hilflosenentschädigung</w:t>
      </w:r>
      <w:r w:rsidRPr="00A679BD">
        <w:rPr>
          <w:rFonts w:ascii="Arial" w:eastAsia="Arial" w:hAnsi="Arial" w:cs="Arial"/>
          <w:b/>
          <w:color w:val="1E1E1E"/>
        </w:rPr>
        <w:t xml:space="preserve"> für lebenspraktische Begleitung </w:t>
      </w:r>
      <w:r w:rsidRPr="00A679BD">
        <w:rPr>
          <w:rFonts w:ascii="Arial" w:hAnsi="Arial" w:cs="Arial"/>
          <w:b/>
          <w:lang w:eastAsia="de-CH"/>
        </w:rPr>
        <w:t xml:space="preserve">und damit auch ein </w:t>
      </w:r>
      <w:r w:rsidRPr="00A679BD">
        <w:rPr>
          <w:rFonts w:ascii="Arial" w:hAnsi="Arial" w:cs="Arial"/>
          <w:b/>
          <w:bCs/>
          <w:lang w:eastAsia="de-CH"/>
        </w:rPr>
        <w:t>grundsätzlicher Anspruch auf einen Assistenzbeitrag zu gewähren.</w:t>
      </w:r>
    </w:p>
    <w:p w14:paraId="4B14C757" w14:textId="39ED288A" w:rsidR="00716684" w:rsidRPr="00E36FE7" w:rsidRDefault="00716684" w:rsidP="00E36FE7">
      <w:pPr>
        <w:pStyle w:val="berschrift2"/>
        <w:spacing w:before="480"/>
        <w:rPr>
          <w:rFonts w:ascii="Arial" w:eastAsia="Times New Roman" w:hAnsi="Arial" w:cs="Arial"/>
          <w:b/>
          <w:color w:val="auto"/>
          <w:sz w:val="24"/>
          <w:szCs w:val="24"/>
        </w:rPr>
      </w:pPr>
      <w:bookmarkStart w:id="74" w:name="_Toc210903232"/>
      <w:r w:rsidRPr="00E36FE7">
        <w:rPr>
          <w:rFonts w:ascii="Arial" w:hAnsi="Arial" w:cs="Arial"/>
          <w:b/>
          <w:color w:val="auto"/>
          <w:sz w:val="24"/>
          <w:szCs w:val="24"/>
        </w:rPr>
        <w:lastRenderedPageBreak/>
        <w:t xml:space="preserve">4.3 </w:t>
      </w:r>
      <w:bookmarkStart w:id="75" w:name="_Toc210057852"/>
      <w:r w:rsidRPr="00E36FE7">
        <w:rPr>
          <w:rFonts w:ascii="Arial" w:hAnsi="Arial" w:cs="Arial"/>
          <w:b/>
          <w:color w:val="auto"/>
          <w:sz w:val="24"/>
          <w:szCs w:val="24"/>
        </w:rPr>
        <w:t>Assistenzbeitrag: Optimierungen</w:t>
      </w:r>
      <w:bookmarkEnd w:id="75"/>
      <w:bookmarkEnd w:id="74"/>
    </w:p>
    <w:p w14:paraId="77303B08" w14:textId="77777777" w:rsidR="00716684" w:rsidRPr="00716684" w:rsidRDefault="00716684" w:rsidP="00716684">
      <w:pPr>
        <w:spacing w:before="240" w:after="240" w:line="259" w:lineRule="auto"/>
        <w:jc w:val="both"/>
      </w:pPr>
      <w:r w:rsidRPr="00716684">
        <w:t xml:space="preserve">Damit der Assistenzbeitrag seine volle Wirkung entfalten und eine selbstbestimmte Lebensführung sicherstellen kann, muss das System in sich deutlich optimiert werden. Die Anforderungen, die ein Assistenzbeitrag mit sich bringt, sind immer noch sehr hoch: Die </w:t>
      </w:r>
      <w:proofErr w:type="spellStart"/>
      <w:proofErr w:type="gramStart"/>
      <w:r w:rsidRPr="00716684">
        <w:t>Bezüger:innen</w:t>
      </w:r>
      <w:proofErr w:type="spellEnd"/>
      <w:proofErr w:type="gramEnd"/>
      <w:r w:rsidRPr="00716684">
        <w:t xml:space="preserve"> müssen Arbeitgebende werden, was mit einem beträchtlichen administrativen Aufwand verbunden ist.</w:t>
      </w:r>
      <w:r w:rsidRPr="00716684">
        <w:rPr>
          <w:vertAlign w:val="superscript"/>
        </w:rPr>
        <w:footnoteReference w:id="50"/>
      </w:r>
      <w:r w:rsidRPr="00716684">
        <w:rPr>
          <w:vertAlign w:val="superscript"/>
        </w:rPr>
        <w:t xml:space="preserve"> </w:t>
      </w:r>
      <w:r w:rsidRPr="00716684">
        <w:t>Dieser Aufwand muss in Zukunft verringert, aber auch durch eine Erhöhung des Assistenzbeitrags in Art. 39f IVV und der Höchstbeträge in Art. 39e IVV sowie durch umfassendere Beratungsleistungen in Art. 39j IVV abgegolten werden. Die heutigen Stundenansätze für den Assistenzbeitrag von CHF 35.30 bzw. CHF 52.95 bei besonderen Qualifikationen sind zu tief, müssen damit doch sowohl Arbeitgeber- als auch Arbeitnehmerbeiträge bezahlt werden. Nur mit einer Erhöhung der Stundenansätze lassen sich in Zeiten des Fachkräftemangels genügend Assistenzpersonen finden.</w:t>
      </w:r>
    </w:p>
    <w:p w14:paraId="1055875D" w14:textId="77777777" w:rsidR="00716684" w:rsidRPr="00716684" w:rsidRDefault="00716684" w:rsidP="00716684">
      <w:pPr>
        <w:spacing w:before="240" w:after="240" w:line="259" w:lineRule="auto"/>
        <w:jc w:val="both"/>
      </w:pPr>
      <w:r w:rsidRPr="00716684">
        <w:t xml:space="preserve">Hinzu kommen jeweils grosse Herausforderungen bei der Suche und Rekrutierung von Assistenzpersonen. Der Kreis der Assistenzleistenden muss daher dringend ausgeweitet werden. In Zukunft sollten nicht nur natürliche Personen beschäftigt werden können. Zudem muss auch die Beschäftigung von Angehörigen in gerader Linie und von </w:t>
      </w:r>
      <w:proofErr w:type="spellStart"/>
      <w:proofErr w:type="gramStart"/>
      <w:r w:rsidRPr="00716684">
        <w:t>Lebenspartner:innen</w:t>
      </w:r>
      <w:proofErr w:type="spellEnd"/>
      <w:proofErr w:type="gramEnd"/>
      <w:r w:rsidRPr="00716684">
        <w:t xml:space="preserve"> zugelassen werden. </w:t>
      </w:r>
    </w:p>
    <w:p w14:paraId="3C36AC2A" w14:textId="77777777" w:rsidR="00716684" w:rsidRPr="00716684" w:rsidRDefault="00716684" w:rsidP="00716684">
      <w:pPr>
        <w:spacing w:before="240" w:after="240" w:line="259" w:lineRule="auto"/>
        <w:jc w:val="both"/>
      </w:pPr>
      <w:r w:rsidRPr="00716684">
        <w:t xml:space="preserve">Ein weiteres Problem zeigt sich bei Personen, die mangels inklusivem 1. Arbeitsmarkt gezwungen sind, im 2. Arbeitsmarkt tätig zu werden, denn gestützt auf </w:t>
      </w:r>
      <w:proofErr w:type="spellStart"/>
      <w:r w:rsidRPr="00716684">
        <w:t>Rz</w:t>
      </w:r>
      <w:proofErr w:type="spellEnd"/>
      <w:r w:rsidRPr="00716684">
        <w:t xml:space="preserve">. 4017 KSAB wird ihr Assistenzbeitrag infolgedessen gekürzt. Dies im Gegensatz zur Erwerbsarbeit im 1. Arbeitsmarkt. Diese unterschiedliche Behandlung ist nicht nachvollziehbar. </w:t>
      </w:r>
    </w:p>
    <w:p w14:paraId="187795A3" w14:textId="77777777" w:rsidR="00716684" w:rsidRPr="00716684" w:rsidRDefault="00716684" w:rsidP="00716684">
      <w:pPr>
        <w:spacing w:before="240" w:after="240" w:line="259" w:lineRule="auto"/>
        <w:jc w:val="both"/>
        <w:rPr>
          <w:b/>
          <w:bCs/>
        </w:rPr>
      </w:pPr>
      <w:r w:rsidRPr="00716684">
        <w:rPr>
          <w:b/>
          <w:bCs/>
        </w:rPr>
        <w:t>Will man den Anliegen der Inklusions-Initiative ausreichend Rechnung tragen, muss der Assistenzbeitrag deutlich optimiert werden.</w:t>
      </w:r>
    </w:p>
    <w:p w14:paraId="0931AE29" w14:textId="77777777" w:rsidR="00A679BD" w:rsidRPr="00A679BD" w:rsidRDefault="00A679BD" w:rsidP="00A679BD">
      <w:pPr>
        <w:pStyle w:val="Textkrper"/>
        <w:spacing w:before="240" w:after="240"/>
        <w:rPr>
          <w:rFonts w:ascii="Arial" w:hAnsi="Arial" w:cs="Arial"/>
          <w:b/>
          <w:bCs/>
        </w:rPr>
      </w:pPr>
      <w:r w:rsidRPr="00A679BD">
        <w:rPr>
          <w:rFonts w:ascii="Arial" w:hAnsi="Arial" w:cs="Arial"/>
          <w:b/>
          <w:bCs/>
        </w:rPr>
        <w:t xml:space="preserve">Wir fordern daher: </w:t>
      </w:r>
    </w:p>
    <w:p w14:paraId="51F30920" w14:textId="77777777" w:rsidR="00A679BD" w:rsidRPr="00A679BD" w:rsidRDefault="00A679BD" w:rsidP="00A679BD">
      <w:pPr>
        <w:pStyle w:val="Textkrper"/>
        <w:numPr>
          <w:ilvl w:val="0"/>
          <w:numId w:val="24"/>
        </w:numPr>
        <w:pBdr>
          <w:top w:val="single" w:sz="4" w:space="1" w:color="auto"/>
          <w:left w:val="single" w:sz="4" w:space="4" w:color="auto"/>
          <w:bottom w:val="single" w:sz="4" w:space="1" w:color="auto"/>
          <w:right w:val="single" w:sz="4" w:space="4" w:color="auto"/>
        </w:pBdr>
        <w:shd w:val="clear" w:color="auto" w:fill="E5DFEC" w:themeFill="accent4" w:themeFillTint="33"/>
        <w:overflowPunct/>
        <w:autoSpaceDE/>
        <w:autoSpaceDN/>
        <w:adjustRightInd/>
        <w:spacing w:before="240" w:after="240" w:line="280" w:lineRule="exact"/>
        <w:jc w:val="both"/>
        <w:textAlignment w:val="auto"/>
        <w:rPr>
          <w:rFonts w:ascii="Arial" w:hAnsi="Arial" w:cs="Arial"/>
          <w:b/>
          <w:bCs/>
          <w:lang w:eastAsia="de-CH"/>
        </w:rPr>
      </w:pPr>
      <w:r w:rsidRPr="00A679BD">
        <w:rPr>
          <w:rFonts w:ascii="Arial" w:hAnsi="Arial" w:cs="Arial"/>
          <w:b/>
          <w:bCs/>
          <w:lang w:eastAsia="de-CH"/>
        </w:rPr>
        <w:t>Der administrative Aufwand ist zu verringern und angemessen abzugelten.</w:t>
      </w:r>
    </w:p>
    <w:p w14:paraId="73B1ED3C" w14:textId="77777777" w:rsidR="00A679BD" w:rsidRPr="00A679BD" w:rsidRDefault="00A679BD" w:rsidP="00A679BD">
      <w:pPr>
        <w:pStyle w:val="Textkrper"/>
        <w:numPr>
          <w:ilvl w:val="0"/>
          <w:numId w:val="24"/>
        </w:numPr>
        <w:pBdr>
          <w:top w:val="single" w:sz="4" w:space="1" w:color="auto"/>
          <w:left w:val="single" w:sz="4" w:space="4" w:color="auto"/>
          <w:bottom w:val="single" w:sz="4" w:space="1" w:color="auto"/>
          <w:right w:val="single" w:sz="4" w:space="4" w:color="auto"/>
        </w:pBdr>
        <w:shd w:val="clear" w:color="auto" w:fill="E5DFEC" w:themeFill="accent4" w:themeFillTint="33"/>
        <w:overflowPunct/>
        <w:autoSpaceDE/>
        <w:autoSpaceDN/>
        <w:adjustRightInd/>
        <w:spacing w:before="240" w:after="240" w:line="280" w:lineRule="exact"/>
        <w:jc w:val="both"/>
        <w:textAlignment w:val="auto"/>
        <w:rPr>
          <w:rFonts w:ascii="Arial" w:hAnsi="Arial" w:cs="Arial"/>
          <w:b/>
          <w:bCs/>
          <w:lang w:eastAsia="de-CH"/>
        </w:rPr>
      </w:pPr>
      <w:r w:rsidRPr="00A679BD">
        <w:rPr>
          <w:rFonts w:ascii="Arial" w:eastAsiaTheme="minorEastAsia" w:hAnsi="Arial" w:cs="Arial"/>
          <w:b/>
          <w:bCs/>
          <w:szCs w:val="24"/>
          <w:lang w:eastAsia="de-CH"/>
        </w:rPr>
        <w:t>Der Assistenzbeitrag und die Höchstbeträge sind zu erhöhen</w:t>
      </w:r>
      <w:r w:rsidRPr="00A679BD">
        <w:rPr>
          <w:rFonts w:ascii="Arial" w:hAnsi="Arial" w:cs="Arial"/>
          <w:b/>
          <w:bCs/>
        </w:rPr>
        <w:t>.</w:t>
      </w:r>
    </w:p>
    <w:p w14:paraId="0BE7041F" w14:textId="77777777" w:rsidR="00A679BD" w:rsidRPr="00A679BD" w:rsidRDefault="00A679BD" w:rsidP="00A679BD">
      <w:pPr>
        <w:pStyle w:val="Textkrper"/>
        <w:numPr>
          <w:ilvl w:val="0"/>
          <w:numId w:val="24"/>
        </w:numPr>
        <w:pBdr>
          <w:top w:val="single" w:sz="4" w:space="1" w:color="auto"/>
          <w:left w:val="single" w:sz="4" w:space="4" w:color="auto"/>
          <w:bottom w:val="single" w:sz="4" w:space="1" w:color="auto"/>
          <w:right w:val="single" w:sz="4" w:space="4" w:color="auto"/>
        </w:pBdr>
        <w:shd w:val="clear" w:color="auto" w:fill="E5DFEC" w:themeFill="accent4" w:themeFillTint="33"/>
        <w:overflowPunct/>
        <w:autoSpaceDE/>
        <w:autoSpaceDN/>
        <w:adjustRightInd/>
        <w:spacing w:before="240" w:after="240" w:line="280" w:lineRule="exact"/>
        <w:jc w:val="both"/>
        <w:textAlignment w:val="auto"/>
        <w:rPr>
          <w:rFonts w:ascii="Arial" w:eastAsiaTheme="minorEastAsia" w:hAnsi="Arial" w:cs="Arial"/>
          <w:b/>
          <w:bCs/>
          <w:szCs w:val="24"/>
          <w:lang w:eastAsia="de-CH"/>
        </w:rPr>
      </w:pPr>
      <w:r w:rsidRPr="00A679BD">
        <w:rPr>
          <w:rFonts w:ascii="Arial" w:eastAsiaTheme="minorEastAsia" w:hAnsi="Arial" w:cs="Arial"/>
          <w:b/>
          <w:bCs/>
          <w:szCs w:val="24"/>
          <w:lang w:eastAsia="de-CH"/>
        </w:rPr>
        <w:t>Die Beratungsleistungen beim Assistenzbeitrag sind auszubauen.</w:t>
      </w:r>
    </w:p>
    <w:p w14:paraId="3895CD56" w14:textId="77777777" w:rsidR="00A679BD" w:rsidRPr="00A679BD" w:rsidRDefault="00A679BD" w:rsidP="00A679BD">
      <w:pPr>
        <w:pStyle w:val="Textkrper"/>
        <w:numPr>
          <w:ilvl w:val="0"/>
          <w:numId w:val="24"/>
        </w:numPr>
        <w:pBdr>
          <w:top w:val="single" w:sz="4" w:space="1" w:color="auto"/>
          <w:left w:val="single" w:sz="4" w:space="4" w:color="auto"/>
          <w:bottom w:val="single" w:sz="4" w:space="1" w:color="auto"/>
          <w:right w:val="single" w:sz="4" w:space="4" w:color="auto"/>
        </w:pBdr>
        <w:shd w:val="clear" w:color="auto" w:fill="E5DFEC" w:themeFill="accent4" w:themeFillTint="33"/>
        <w:overflowPunct/>
        <w:autoSpaceDE/>
        <w:autoSpaceDN/>
        <w:adjustRightInd/>
        <w:spacing w:before="240" w:after="240" w:line="280" w:lineRule="exact"/>
        <w:jc w:val="both"/>
        <w:textAlignment w:val="auto"/>
        <w:rPr>
          <w:rFonts w:ascii="Arial" w:eastAsiaTheme="minorEastAsia" w:hAnsi="Arial" w:cs="Arial"/>
          <w:b/>
          <w:lang w:eastAsia="de-CH"/>
        </w:rPr>
      </w:pPr>
      <w:r w:rsidRPr="00A679BD">
        <w:rPr>
          <w:rFonts w:ascii="Arial" w:hAnsi="Arial" w:cs="Arial"/>
          <w:b/>
          <w:bCs/>
          <w:lang w:eastAsia="de-CH"/>
        </w:rPr>
        <w:t>Der Kreis der Assistenzleistenden ist auszuweiten:</w:t>
      </w:r>
      <w:r w:rsidRPr="00A679BD">
        <w:rPr>
          <w:rFonts w:ascii="Arial" w:hAnsi="Arial" w:cs="Arial"/>
        </w:rPr>
        <w:tab/>
      </w:r>
      <w:r w:rsidRPr="00A679BD">
        <w:rPr>
          <w:rFonts w:ascii="Arial" w:hAnsi="Arial" w:cs="Arial"/>
        </w:rPr>
        <w:br/>
      </w:r>
      <w:r w:rsidRPr="00A679BD">
        <w:rPr>
          <w:rFonts w:ascii="Arial" w:hAnsi="Arial" w:cs="Arial"/>
          <w:b/>
          <w:bCs/>
          <w:lang w:eastAsia="de-CH"/>
        </w:rPr>
        <w:t>- keine Beschränkung auf natürliche Personen</w:t>
      </w:r>
      <w:r w:rsidRPr="00A679BD">
        <w:rPr>
          <w:rFonts w:ascii="Arial" w:hAnsi="Arial" w:cs="Arial"/>
        </w:rPr>
        <w:tab/>
      </w:r>
      <w:r w:rsidRPr="00A679BD">
        <w:rPr>
          <w:rFonts w:ascii="Arial" w:hAnsi="Arial" w:cs="Arial"/>
        </w:rPr>
        <w:br/>
      </w:r>
      <w:r w:rsidRPr="00A679BD">
        <w:rPr>
          <w:rFonts w:ascii="Arial" w:hAnsi="Arial" w:cs="Arial"/>
          <w:b/>
          <w:bCs/>
          <w:lang w:eastAsia="de-CH"/>
        </w:rPr>
        <w:t xml:space="preserve">- </w:t>
      </w:r>
      <w:r w:rsidRPr="00A679BD">
        <w:rPr>
          <w:rFonts w:ascii="Arial" w:eastAsiaTheme="minorEastAsia" w:hAnsi="Arial" w:cs="Arial"/>
          <w:b/>
          <w:lang w:eastAsia="de-CH"/>
        </w:rPr>
        <w:t xml:space="preserve">Zulassung von Angehörigen in gerader Linie und von </w:t>
      </w:r>
      <w:proofErr w:type="spellStart"/>
      <w:proofErr w:type="gramStart"/>
      <w:r w:rsidRPr="00A679BD">
        <w:rPr>
          <w:rFonts w:ascii="Arial" w:eastAsiaTheme="minorEastAsia" w:hAnsi="Arial" w:cs="Arial"/>
          <w:b/>
          <w:lang w:eastAsia="de-CH"/>
        </w:rPr>
        <w:t>Lebenspartner:innen</w:t>
      </w:r>
      <w:proofErr w:type="spellEnd"/>
      <w:proofErr w:type="gramEnd"/>
    </w:p>
    <w:p w14:paraId="65F33F4C" w14:textId="77777777" w:rsidR="00A679BD" w:rsidRPr="00A679BD" w:rsidRDefault="00A679BD" w:rsidP="00A679BD">
      <w:pPr>
        <w:pStyle w:val="Textkrper"/>
        <w:numPr>
          <w:ilvl w:val="0"/>
          <w:numId w:val="24"/>
        </w:numPr>
        <w:pBdr>
          <w:top w:val="single" w:sz="4" w:space="1" w:color="auto"/>
          <w:left w:val="single" w:sz="4" w:space="4" w:color="auto"/>
          <w:bottom w:val="single" w:sz="4" w:space="1" w:color="auto"/>
          <w:right w:val="single" w:sz="4" w:space="4" w:color="auto"/>
        </w:pBdr>
        <w:shd w:val="clear" w:color="auto" w:fill="E5DFEC" w:themeFill="accent4" w:themeFillTint="33"/>
        <w:overflowPunct/>
        <w:autoSpaceDE/>
        <w:autoSpaceDN/>
        <w:adjustRightInd/>
        <w:spacing w:before="240" w:after="240" w:line="280" w:lineRule="exact"/>
        <w:jc w:val="both"/>
        <w:textAlignment w:val="auto"/>
        <w:rPr>
          <w:rFonts w:ascii="Arial" w:eastAsiaTheme="minorEastAsia" w:hAnsi="Arial" w:cs="Arial"/>
          <w:b/>
          <w:bCs/>
          <w:lang w:eastAsia="de-CH"/>
        </w:rPr>
      </w:pPr>
      <w:r w:rsidRPr="00A679BD">
        <w:rPr>
          <w:rFonts w:ascii="Arial" w:eastAsiaTheme="minorEastAsia" w:hAnsi="Arial" w:cs="Arial"/>
          <w:b/>
          <w:bCs/>
          <w:lang w:eastAsia="de-CH"/>
        </w:rPr>
        <w:t>Personen im 2. Arbeitsmarkt sind beim Assistenzbeitrag gleich zu behandeln wie Personen im 1. Arbeitsmarkt.</w:t>
      </w:r>
    </w:p>
    <w:p w14:paraId="7798C238" w14:textId="72636A72" w:rsidR="00716684" w:rsidRPr="00E36FE7" w:rsidRDefault="00716684" w:rsidP="00E36FE7">
      <w:pPr>
        <w:pStyle w:val="berschrift2"/>
        <w:spacing w:before="480"/>
        <w:rPr>
          <w:rFonts w:ascii="Arial" w:eastAsia="Times New Roman" w:hAnsi="Arial" w:cs="Arial"/>
          <w:b/>
          <w:color w:val="auto"/>
          <w:sz w:val="24"/>
          <w:szCs w:val="24"/>
        </w:rPr>
      </w:pPr>
      <w:bookmarkStart w:id="76" w:name="_Toc210903233"/>
      <w:r w:rsidRPr="00E36FE7">
        <w:rPr>
          <w:rFonts w:ascii="Arial" w:hAnsi="Arial" w:cs="Arial"/>
          <w:b/>
          <w:color w:val="auto"/>
          <w:sz w:val="24"/>
          <w:szCs w:val="24"/>
        </w:rPr>
        <w:lastRenderedPageBreak/>
        <w:t xml:space="preserve">4.4 </w:t>
      </w:r>
      <w:bookmarkStart w:id="77" w:name="_Toc210057853"/>
      <w:r w:rsidRPr="00E36FE7">
        <w:rPr>
          <w:rFonts w:ascii="Arial" w:hAnsi="Arial" w:cs="Arial"/>
          <w:b/>
          <w:color w:val="auto"/>
          <w:sz w:val="24"/>
          <w:szCs w:val="24"/>
        </w:rPr>
        <w:t>Sinnesbehinderte im Assistenzbeitrag IV als Sonderfall</w:t>
      </w:r>
      <w:bookmarkEnd w:id="77"/>
      <w:bookmarkEnd w:id="76"/>
    </w:p>
    <w:p w14:paraId="3A5FD614" w14:textId="0A9C5098" w:rsidR="00716684" w:rsidRPr="00716684" w:rsidRDefault="00E36FE7" w:rsidP="00E36FE7">
      <w:pPr>
        <w:pStyle w:val="berschrift3"/>
        <w:spacing w:before="480"/>
        <w:rPr>
          <w:rFonts w:ascii="Arial" w:hAnsi="Arial" w:cs="Arial"/>
          <w:b/>
          <w:bCs/>
          <w:color w:val="auto"/>
        </w:rPr>
      </w:pPr>
      <w:bookmarkStart w:id="78" w:name="_Toc210057854"/>
      <w:bookmarkStart w:id="79" w:name="_Toc210903234"/>
      <w:r w:rsidRPr="00E36FE7">
        <w:rPr>
          <w:rFonts w:ascii="Arial" w:hAnsi="Arial" w:cs="Arial"/>
          <w:color w:val="auto"/>
        </w:rPr>
        <w:t xml:space="preserve">4.4.1 </w:t>
      </w:r>
      <w:r w:rsidR="00716684" w:rsidRPr="00716684">
        <w:rPr>
          <w:rFonts w:ascii="Arial" w:hAnsi="Arial" w:cs="Arial"/>
          <w:color w:val="auto"/>
        </w:rPr>
        <w:t>FAKT: Stolperstein für Sinnesbehinderte</w:t>
      </w:r>
      <w:bookmarkEnd w:id="78"/>
      <w:bookmarkEnd w:id="79"/>
    </w:p>
    <w:p w14:paraId="09A4A14C" w14:textId="77777777" w:rsidR="00716684" w:rsidRPr="00716684" w:rsidRDefault="00716684" w:rsidP="00716684">
      <w:pPr>
        <w:spacing w:before="240" w:after="240" w:line="259" w:lineRule="auto"/>
        <w:jc w:val="both"/>
      </w:pPr>
      <w:r w:rsidRPr="00716684">
        <w:t>Zur Durchführung des Assistenzbeitrages wurde das Instrument FAKT erstellt und implementiert. Das FAKT ist sehr standardisiert und baut vorwiegend auf geschlossenen Fragestellungen auf. Dadurch können behinderungsspezifische Notwendigkeiten nicht berücksichtigt werden.</w:t>
      </w:r>
    </w:p>
    <w:p w14:paraId="0BCCA6E5" w14:textId="77777777" w:rsidR="00716684" w:rsidRPr="00716684" w:rsidRDefault="00716684" w:rsidP="00716684">
      <w:pPr>
        <w:spacing w:before="240" w:after="240" w:line="259" w:lineRule="auto"/>
        <w:jc w:val="both"/>
      </w:pPr>
      <w:r w:rsidRPr="00716684">
        <w:t>Aus diesen Gründen finden sich Sinnesbehinderte nicht mehr im FAKT und erleben es als eigentlichen Geburtsfehler des Systems. Das FAKT baut auf dem Abklärungsverfahren der Hilflosenentschädigung auf. Dieses Ermittlungsinstrument berücksichtigt schwerpunktmässig die Bedürfnisse von Menschen mit körperlicher Behinderung.</w:t>
      </w:r>
    </w:p>
    <w:p w14:paraId="452B6134" w14:textId="77777777" w:rsidR="00716684" w:rsidRPr="00716684" w:rsidRDefault="00716684" w:rsidP="00716684">
      <w:pPr>
        <w:spacing w:before="240" w:after="240" w:line="259" w:lineRule="auto"/>
        <w:jc w:val="both"/>
      </w:pPr>
      <w:r w:rsidRPr="00716684">
        <w:t>Dass sich dieses Bedarfsabklärungsinstrument für Sinnesbehinderte nicht eignet, hat der Gesetzgeber erkannt und spricht blinden, sehbehinderten, hör-/sehbehinderten und taubblinden Personen eine Hilflosenentschädigung im Sonderfall zu. Dabei wird auf eine Abklärung mittels eines vorgegebenen Instruments bewusst verzichtet.</w:t>
      </w:r>
    </w:p>
    <w:p w14:paraId="2C3CE2B5" w14:textId="77777777" w:rsidR="00716684" w:rsidRPr="00716684" w:rsidRDefault="00716684" w:rsidP="00716684">
      <w:pPr>
        <w:spacing w:before="240" w:after="240" w:line="259" w:lineRule="auto"/>
        <w:jc w:val="both"/>
      </w:pPr>
      <w:r w:rsidRPr="00716684">
        <w:t xml:space="preserve">Dieser Sonderfall wird im Assistenzbeitrag IV nur </w:t>
      </w:r>
      <w:proofErr w:type="gramStart"/>
      <w:r w:rsidRPr="00716684">
        <w:t>soweit</w:t>
      </w:r>
      <w:proofErr w:type="gramEnd"/>
      <w:r w:rsidRPr="00716684">
        <w:t xml:space="preserve"> berücksichtigt, als dass 3 resp. 6 Aktivitäten des täglichen Lebens (ATL) bei der Berechnung zugrunde gelegt werden.</w:t>
      </w:r>
    </w:p>
    <w:p w14:paraId="36D1F2ED" w14:textId="7261CFB1" w:rsidR="00716684" w:rsidRPr="00716684" w:rsidRDefault="00E36FE7" w:rsidP="00E36FE7">
      <w:pPr>
        <w:pStyle w:val="berschrift3"/>
        <w:spacing w:before="480"/>
        <w:rPr>
          <w:rFonts w:ascii="Arial" w:hAnsi="Arial" w:cs="Arial"/>
          <w:b/>
          <w:bCs/>
          <w:color w:val="auto"/>
        </w:rPr>
      </w:pPr>
      <w:bookmarkStart w:id="80" w:name="_Toc210057855"/>
      <w:bookmarkStart w:id="81" w:name="_Toc210903235"/>
      <w:r w:rsidRPr="00E36FE7">
        <w:rPr>
          <w:rFonts w:ascii="Arial" w:hAnsi="Arial" w:cs="Arial"/>
          <w:color w:val="auto"/>
        </w:rPr>
        <w:t xml:space="preserve">4.4.2 </w:t>
      </w:r>
      <w:r w:rsidR="00716684" w:rsidRPr="00716684">
        <w:rPr>
          <w:rFonts w:ascii="Arial" w:hAnsi="Arial" w:cs="Arial"/>
          <w:color w:val="auto"/>
        </w:rPr>
        <w:t>Sinnesbehinderte im FAKT</w:t>
      </w:r>
      <w:bookmarkEnd w:id="80"/>
      <w:bookmarkEnd w:id="81"/>
    </w:p>
    <w:p w14:paraId="2F613847" w14:textId="09D91E9A" w:rsidR="00716684" w:rsidRPr="00716684" w:rsidRDefault="00716684" w:rsidP="00716684">
      <w:pPr>
        <w:spacing w:before="240" w:after="240" w:line="259" w:lineRule="auto"/>
        <w:jc w:val="both"/>
      </w:pPr>
      <w:r w:rsidRPr="00716684">
        <w:t>Im Bereich der Aktivitäten des täglichen Lebens haben Sinnesbehinderte in der Regel einen kleineren Assistenzbedarf als insbesondere körperlich beeinträchtigte Personen.</w:t>
      </w:r>
    </w:p>
    <w:p w14:paraId="3FB8CEE4" w14:textId="77777777" w:rsidR="00716684" w:rsidRPr="00716684" w:rsidRDefault="00716684" w:rsidP="00716684">
      <w:pPr>
        <w:spacing w:before="240" w:after="240" w:line="259" w:lineRule="auto"/>
        <w:jc w:val="both"/>
      </w:pPr>
      <w:r w:rsidRPr="00716684">
        <w:t>Demgegenüber sind aber in den Bereichen Haushaltsführung und gesellschaftliche Teilhabe und Freizeitgestaltung die im FAKT vorgegebenen Rahmenbedingungen unzureichend. Das Gleiche gilt auch in den Bereichen nach Artikel 39c Bst. D. - g IVV.</w:t>
      </w:r>
    </w:p>
    <w:p w14:paraId="1CC9A8E9" w14:textId="7966876D" w:rsidR="00716684" w:rsidRPr="00716684" w:rsidRDefault="00716684" w:rsidP="00716684">
      <w:pPr>
        <w:spacing w:before="240" w:after="240" w:line="259" w:lineRule="auto"/>
        <w:jc w:val="both"/>
      </w:pPr>
      <w:r w:rsidRPr="00716684">
        <w:t>Auch die Frage der Einstufung und damit verbundene Mitwirkung stellt sich bei Sinnesbehinderten anders als bei anderen Behindertenarten.</w:t>
      </w:r>
    </w:p>
    <w:p w14:paraId="7F61C583" w14:textId="77777777" w:rsidR="00716684" w:rsidRPr="00716684" w:rsidRDefault="00716684" w:rsidP="00716684">
      <w:pPr>
        <w:spacing w:before="240" w:after="240" w:line="259" w:lineRule="auto"/>
        <w:jc w:val="both"/>
        <w:rPr>
          <w:u w:val="single"/>
        </w:rPr>
      </w:pPr>
      <w:r w:rsidRPr="00716684">
        <w:rPr>
          <w:u w:val="single"/>
        </w:rPr>
        <w:t>Beispiele aus der Praxis sollen die Problematik verdeutlichen:</w:t>
      </w:r>
    </w:p>
    <w:p w14:paraId="64E32EBE" w14:textId="77777777" w:rsidR="00716684" w:rsidRPr="00716684" w:rsidRDefault="00716684" w:rsidP="00B533C5">
      <w:pPr>
        <w:spacing w:before="240" w:after="240" w:line="259" w:lineRule="auto"/>
        <w:ind w:firstLine="567"/>
        <w:jc w:val="both"/>
        <w:rPr>
          <w:b/>
          <w:bCs/>
        </w:rPr>
      </w:pPr>
      <w:r w:rsidRPr="00716684">
        <w:rPr>
          <w:b/>
          <w:bCs/>
        </w:rPr>
        <w:t>1. Fenster putzen:</w:t>
      </w:r>
    </w:p>
    <w:p w14:paraId="7A852E79" w14:textId="77777777" w:rsidR="00716684" w:rsidRPr="00716684" w:rsidRDefault="00716684" w:rsidP="00716684">
      <w:pPr>
        <w:spacing w:before="240" w:after="240" w:line="259" w:lineRule="auto"/>
        <w:jc w:val="both"/>
      </w:pPr>
      <w:r w:rsidRPr="00716684">
        <w:t xml:space="preserve">Für Sehbehinderte ist es in der Regel körperlich möglich, Fenster zu putzen. Aufgrund der Sehbehinderung braucht eine sehbehinderte Person ein x-faches an Zeit und kann das Resultat nicht beurteilen. Das Resultat ist zumeist unbefriedigend. </w:t>
      </w:r>
    </w:p>
    <w:p w14:paraId="6254D709" w14:textId="77777777" w:rsidR="00716684" w:rsidRPr="00716684" w:rsidRDefault="00716684" w:rsidP="00B533C5">
      <w:pPr>
        <w:spacing w:before="240" w:after="240" w:line="259" w:lineRule="auto"/>
        <w:ind w:firstLine="567"/>
        <w:jc w:val="both"/>
        <w:rPr>
          <w:b/>
          <w:bCs/>
        </w:rPr>
      </w:pPr>
      <w:r w:rsidRPr="00716684">
        <w:rPr>
          <w:b/>
          <w:bCs/>
        </w:rPr>
        <w:t>2. verschüttete Flüssigkeit aufwischen:</w:t>
      </w:r>
    </w:p>
    <w:p w14:paraId="6BCA5081" w14:textId="77777777" w:rsidR="00716684" w:rsidRPr="00716684" w:rsidRDefault="00716684" w:rsidP="00716684">
      <w:pPr>
        <w:spacing w:before="240" w:after="240" w:line="259" w:lineRule="auto"/>
        <w:jc w:val="both"/>
      </w:pPr>
      <w:r w:rsidRPr="00716684">
        <w:t xml:space="preserve">Körperlich sind Sehbehinderte in der Lage, zum Beispiel ein verschüttetes Getränk vom Boden aufzuwischen. </w:t>
      </w:r>
    </w:p>
    <w:p w14:paraId="4B7F55B4" w14:textId="77777777" w:rsidR="00716684" w:rsidRPr="00716684" w:rsidRDefault="00716684" w:rsidP="00716684">
      <w:pPr>
        <w:spacing w:before="240" w:after="240" w:line="259" w:lineRule="auto"/>
        <w:jc w:val="both"/>
      </w:pPr>
      <w:r w:rsidRPr="00716684">
        <w:lastRenderedPageBreak/>
        <w:t>Die erste Schwierigkeit besteht aber schon darin, dass die Stelle auf dem Boden gefunden werden muss. Konnte der Boden aufgewischt werden, gibt es für die sehbehinderte Person keine Gewähr, dass alles entfernt wurde, da ihr die visuelle Übersicht und Kontrolle fehlt.</w:t>
      </w:r>
    </w:p>
    <w:p w14:paraId="6F07C982" w14:textId="77777777" w:rsidR="00716684" w:rsidRPr="00716684" w:rsidRDefault="00716684" w:rsidP="00716684">
      <w:pPr>
        <w:spacing w:before="240" w:after="240" w:line="259" w:lineRule="auto"/>
        <w:jc w:val="both"/>
      </w:pPr>
      <w:r w:rsidRPr="00716684">
        <w:t>Auch diese Verrichtung ist mit einem unzumutbaren, x-fachen Zeitaufwand verbunden.</w:t>
      </w:r>
    </w:p>
    <w:p w14:paraId="18CA6861" w14:textId="77777777" w:rsidR="00716684" w:rsidRPr="00716684" w:rsidRDefault="00716684" w:rsidP="004C6A28">
      <w:pPr>
        <w:spacing w:before="240" w:after="240" w:line="259" w:lineRule="auto"/>
        <w:ind w:firstLine="567"/>
        <w:jc w:val="both"/>
        <w:rPr>
          <w:b/>
          <w:bCs/>
        </w:rPr>
      </w:pPr>
      <w:r w:rsidRPr="00716684">
        <w:rPr>
          <w:b/>
          <w:bCs/>
        </w:rPr>
        <w:t>3. auswärtige Sitzungen im Rahmen einer Erwerbstätigkeit:</w:t>
      </w:r>
    </w:p>
    <w:p w14:paraId="2813174C" w14:textId="77777777" w:rsidR="00716684" w:rsidRPr="00716684" w:rsidRDefault="00716684" w:rsidP="00716684">
      <w:pPr>
        <w:spacing w:before="240" w:after="240" w:line="259" w:lineRule="auto"/>
        <w:jc w:val="both"/>
      </w:pPr>
      <w:r w:rsidRPr="00716684">
        <w:t xml:space="preserve">Je nach Art der Arbeitsstelle sind mehr oder weniger Sitzungen und Besprechungen ausser Haus wahrzunehmen. Dabei muss der Weg zumeist an unbekannte Orte überwunden werden. </w:t>
      </w:r>
    </w:p>
    <w:p w14:paraId="7F719213" w14:textId="77777777" w:rsidR="00716684" w:rsidRPr="00716684" w:rsidRDefault="00716684" w:rsidP="00716684">
      <w:pPr>
        <w:spacing w:before="240" w:after="240" w:line="259" w:lineRule="auto"/>
        <w:jc w:val="both"/>
      </w:pPr>
      <w:r w:rsidRPr="00716684">
        <w:t>An den Meetings selbst werden zudem oft Grafiken und Tischvorlagen präsentiert. Um auf Augenhöhe mitreden zu können, müssen diese der sehbehinderten Person vor Ort erklärt werden.</w:t>
      </w:r>
    </w:p>
    <w:p w14:paraId="54BCD192" w14:textId="1360A826" w:rsidR="004C6A28" w:rsidRPr="00716684" w:rsidRDefault="00716684" w:rsidP="00716684">
      <w:pPr>
        <w:spacing w:before="240" w:after="240" w:line="259" w:lineRule="auto"/>
        <w:jc w:val="both"/>
      </w:pPr>
      <w:r w:rsidRPr="00716684">
        <w:t>Aufgrund der Art der Erwerbstätigkeit können auch höher qualifizierte Assistenzleistungen notwendig sein. Um Grafiken, Tabellen und Präsentationen effizient und effektiv erklären zu können, ist das Verständnis des Inhaltes Voraussetzung, was ein entsprechendes Fachwissen voraussetzt. Diese Art von Assistenzleistungen sind für die erfolgreiche Integration in den Arbeitsmarkt unumgänglich - respektive vielfach Voraussetzung.</w:t>
      </w:r>
    </w:p>
    <w:p w14:paraId="22FDFD8A" w14:textId="596F548E" w:rsidR="00716684" w:rsidRPr="00716684" w:rsidRDefault="00CA63A7" w:rsidP="00B533C5">
      <w:pPr>
        <w:spacing w:before="240" w:after="240" w:line="259" w:lineRule="auto"/>
        <w:ind w:firstLine="567"/>
        <w:jc w:val="both"/>
        <w:rPr>
          <w:b/>
          <w:bCs/>
        </w:rPr>
      </w:pPr>
      <w:r>
        <w:rPr>
          <w:b/>
          <w:bCs/>
        </w:rPr>
        <w:t xml:space="preserve">4. </w:t>
      </w:r>
      <w:r w:rsidR="00716684" w:rsidRPr="00716684">
        <w:rPr>
          <w:b/>
          <w:bCs/>
        </w:rPr>
        <w:t>Menschen mit Taubblindheit in gesellschaftlichen Aktivitäten:</w:t>
      </w:r>
    </w:p>
    <w:p w14:paraId="04F44C7C" w14:textId="57CB5E37" w:rsidR="00716684" w:rsidRPr="00716684" w:rsidRDefault="00716684" w:rsidP="00716684">
      <w:pPr>
        <w:spacing w:before="240" w:after="240" w:line="259" w:lineRule="auto"/>
        <w:jc w:val="both"/>
      </w:pPr>
      <w:r w:rsidRPr="00716684">
        <w:t>Aufgrund der doppelten Sinnesbehinderung braucht jede Kontaktaufnahme mit der Aussenwelt eine Assistenz. Zudem ist die eigenständige Mobilität an unbekannte Orte lebensgefährlich, weil beide Sinne fehlen. Für gesellschaftliche Aktivitäten werden im FAKT höchstens 60 Minuten pro Tag anerkannt (Minutenwerte im FAKT sind fixiert und entsprechen nicht der Lebensrealität von Sinnesbehinderten). Diese starren Grenzen im FAKT führen zu menschenunwürdiger Isolation.</w:t>
      </w:r>
    </w:p>
    <w:p w14:paraId="2B26F11D" w14:textId="69EA1136" w:rsidR="00716684" w:rsidRPr="00664ACD" w:rsidRDefault="00664ACD" w:rsidP="00B533C5">
      <w:pPr>
        <w:ind w:firstLine="567"/>
        <w:rPr>
          <w:b/>
          <w:bCs/>
        </w:rPr>
      </w:pPr>
      <w:r>
        <w:rPr>
          <w:b/>
          <w:bCs/>
        </w:rPr>
        <w:t xml:space="preserve">5. </w:t>
      </w:r>
      <w:r w:rsidR="00716684" w:rsidRPr="00664ACD">
        <w:rPr>
          <w:b/>
          <w:bCs/>
        </w:rPr>
        <w:t>Menschen mit Taubblindheit in Arbeit oder Weiterbildung:</w:t>
      </w:r>
    </w:p>
    <w:p w14:paraId="0FFCA4A1" w14:textId="77777777" w:rsidR="00716684" w:rsidRPr="00716684" w:rsidRDefault="00716684" w:rsidP="00716684">
      <w:pPr>
        <w:spacing w:before="240" w:after="240" w:line="259" w:lineRule="auto"/>
        <w:jc w:val="both"/>
      </w:pPr>
      <w:r w:rsidRPr="00716684">
        <w:t xml:space="preserve">Taubblinde Menschen, die auf taktile Gebärdensprache angewiesen sind, brauchen an Sitzungen professionelle Gebärdensprachdolmetscher. Diese erbringen jedoch keine weiteren Assistenzleistungen (Weg bis zum Arbeitsplatz, Begleitung in Pause oder im Gebäude WC suchen </w:t>
      </w:r>
      <w:proofErr w:type="spellStart"/>
      <w:r w:rsidRPr="00716684">
        <w:t>usw</w:t>
      </w:r>
      <w:proofErr w:type="spellEnd"/>
      <w:r w:rsidRPr="00716684">
        <w:t xml:space="preserve">). Es braucht daher eine Doppelbesetzung. Trotzdem werden die Dienstleistungen Dritter vom Hilfebedarf abgezogen. Dies entspricht nicht der Lebensrealität. </w:t>
      </w:r>
    </w:p>
    <w:p w14:paraId="6A4465B7" w14:textId="33D400DE" w:rsidR="00716684" w:rsidRPr="00716684" w:rsidRDefault="00E35F95" w:rsidP="00B533C5">
      <w:pPr>
        <w:spacing w:before="240" w:after="240" w:line="259" w:lineRule="auto"/>
        <w:ind w:left="851" w:hanging="284"/>
        <w:jc w:val="both"/>
        <w:rPr>
          <w:b/>
          <w:bCs/>
        </w:rPr>
      </w:pPr>
      <w:r>
        <w:rPr>
          <w:b/>
          <w:bCs/>
        </w:rPr>
        <w:t xml:space="preserve">6. </w:t>
      </w:r>
      <w:r w:rsidR="00716684" w:rsidRPr="00716684">
        <w:rPr>
          <w:b/>
          <w:bCs/>
        </w:rPr>
        <w:t>Eine Glasschale fällt herunter</w:t>
      </w:r>
      <w:r w:rsidR="00B533C5">
        <w:rPr>
          <w:b/>
          <w:bCs/>
        </w:rPr>
        <w:t xml:space="preserve">, </w:t>
      </w:r>
      <w:r w:rsidR="00716684" w:rsidRPr="00716684">
        <w:rPr>
          <w:b/>
          <w:bCs/>
        </w:rPr>
        <w:t>die Scherben sind im ganzen Raum verteilt:</w:t>
      </w:r>
    </w:p>
    <w:p w14:paraId="3E542017" w14:textId="67DA4890" w:rsidR="00716684" w:rsidRPr="00716684" w:rsidRDefault="00716684" w:rsidP="00716684">
      <w:pPr>
        <w:spacing w:before="240" w:after="240" w:line="259" w:lineRule="auto"/>
        <w:jc w:val="both"/>
      </w:pPr>
      <w:r w:rsidRPr="00716684">
        <w:t xml:space="preserve">Die sehbehinderte Person kann zwar versuchen, die Scherben zusammen zu wischen und mit dem Staubsauger aufzusaugen. Es werden aber immer kleine Splitter und Scherben infolge der </w:t>
      </w:r>
      <w:r w:rsidR="00777D52">
        <w:t xml:space="preserve">fehlenden, </w:t>
      </w:r>
      <w:r w:rsidRPr="00716684">
        <w:t>visuellen Kontrolle liegen bleiben. Diese gefährden die betroffene Person und eventuell im Haushalt lebende Kinder.</w:t>
      </w:r>
    </w:p>
    <w:p w14:paraId="3C5FD558" w14:textId="36A99817" w:rsidR="00716684" w:rsidRPr="00716684" w:rsidRDefault="00777D52" w:rsidP="00B533C5">
      <w:pPr>
        <w:spacing w:before="240" w:after="240" w:line="259" w:lineRule="auto"/>
        <w:ind w:firstLine="567"/>
        <w:jc w:val="both"/>
        <w:rPr>
          <w:b/>
          <w:bCs/>
        </w:rPr>
      </w:pPr>
      <w:r>
        <w:rPr>
          <w:b/>
          <w:bCs/>
        </w:rPr>
        <w:lastRenderedPageBreak/>
        <w:t xml:space="preserve">7. </w:t>
      </w:r>
      <w:r w:rsidR="00716684" w:rsidRPr="00716684">
        <w:rPr>
          <w:b/>
          <w:bCs/>
        </w:rPr>
        <w:t>Punktuelle Assistenz:</w:t>
      </w:r>
    </w:p>
    <w:p w14:paraId="43885348" w14:textId="77777777" w:rsidR="00716684" w:rsidRPr="00716684" w:rsidRDefault="00716684" w:rsidP="00716684">
      <w:pPr>
        <w:spacing w:before="240" w:after="240" w:line="259" w:lineRule="auto"/>
        <w:jc w:val="both"/>
      </w:pPr>
      <w:r w:rsidRPr="00716684">
        <w:t xml:space="preserve">Oft brauchen Menschen mit eine Sehbehinderung nur punktuell Assistenz, für die es sich nicht lohnt, dass extra jemand vorbeikommt. Die Person, mit der die betroffene Person zusammenlebt, kann dies machen, muss dafür aber beispielsweise am Morgen Zusatzzeit einrechnen. Zum Beispiel: die sehbehinderte Person hat einen wichtigen Termin und sollte entsprechend aussehen. Auch wenn sie ein gutes System und Hilfsmittel (z. B. Farberkennung) zur Kleiderwahl hat, ist es in solchen Fällen gut, wenn jemand schnell schauen kann, ob sich wirklich keine Farben oder Muster beissen, irgendwo ein Fleck ist oder Fusseln oder abstehende Fäden das Gesamtbild trüben. Dasselbe, wenn die Person mit Sehbehinderung beschliesst, dass etwas Lippenstift eine gute Idee wäre. </w:t>
      </w:r>
    </w:p>
    <w:p w14:paraId="5FEFC17A" w14:textId="77777777" w:rsidR="00716684" w:rsidRPr="00716684" w:rsidRDefault="00716684" w:rsidP="00716684">
      <w:pPr>
        <w:spacing w:before="240" w:after="240" w:line="259" w:lineRule="auto"/>
        <w:jc w:val="both"/>
      </w:pPr>
      <w:r w:rsidRPr="00716684">
        <w:t>In solchen und zahlreichen anderen Fällen ist es notwendig, mehr behinderungsspezifische Assistenz zuzusprechen. Heute ist das mit dem FAKT aufgrund seiner wenig flexiblen Struktur nicht möglich.</w:t>
      </w:r>
    </w:p>
    <w:p w14:paraId="0BDE5ABD" w14:textId="09655AE9" w:rsidR="00716684" w:rsidRPr="00716684" w:rsidRDefault="00E36FE7" w:rsidP="00E36FE7">
      <w:pPr>
        <w:pStyle w:val="berschrift3"/>
        <w:spacing w:before="480"/>
        <w:rPr>
          <w:rFonts w:ascii="Arial" w:hAnsi="Arial" w:cs="Arial"/>
          <w:b/>
          <w:bCs/>
          <w:color w:val="auto"/>
        </w:rPr>
      </w:pPr>
      <w:bookmarkStart w:id="82" w:name="_Toc210057856"/>
      <w:bookmarkStart w:id="83" w:name="_Toc210903236"/>
      <w:r w:rsidRPr="00E36FE7">
        <w:rPr>
          <w:rFonts w:ascii="Arial" w:hAnsi="Arial" w:cs="Arial"/>
          <w:color w:val="auto"/>
        </w:rPr>
        <w:t xml:space="preserve">4.4.3 </w:t>
      </w:r>
      <w:r w:rsidR="00716684" w:rsidRPr="00716684">
        <w:rPr>
          <w:rFonts w:ascii="Arial" w:hAnsi="Arial" w:cs="Arial"/>
          <w:color w:val="auto"/>
        </w:rPr>
        <w:t>Vorteile für Sinnesbehinderte im Pilotprojekt Assistenzbudget (PAB)</w:t>
      </w:r>
      <w:bookmarkEnd w:id="82"/>
      <w:bookmarkEnd w:id="83"/>
    </w:p>
    <w:p w14:paraId="2DC4A0D5" w14:textId="77ED7720" w:rsidR="00716684" w:rsidRPr="00716684" w:rsidRDefault="00716684" w:rsidP="00716684">
      <w:pPr>
        <w:spacing w:before="240" w:after="240" w:line="259" w:lineRule="auto"/>
        <w:jc w:val="both"/>
      </w:pPr>
      <w:r w:rsidRPr="00716684">
        <w:t>Im PAB konnten Angehörige angestellt werden und Dienstleistungen auf Honorarbasis eingekauft werden. Angehörige haben aufgrund jahrelanger Betreuung sehr viel Erfahrung im Umgang mit der Sinnesbehinderung eines betroffenen Familienmitglieds. Oft stehen sie auch viel flexibler zur Verfügung als angestellte Personen, welche zu einem vereinbarten Termin kommen.</w:t>
      </w:r>
    </w:p>
    <w:p w14:paraId="6B5ACA17" w14:textId="77777777" w:rsidR="00716684" w:rsidRPr="00716684" w:rsidRDefault="00716684" w:rsidP="00716684">
      <w:pPr>
        <w:spacing w:before="240" w:after="240" w:line="259" w:lineRule="auto"/>
        <w:jc w:val="both"/>
      </w:pPr>
      <w:r w:rsidRPr="00716684">
        <w:t>Durch dieses grosse Wissen und Flexibilität der Angehörigen können Assistenzleistungen sehr effizient und zielgerichtet erbracht werden.</w:t>
      </w:r>
    </w:p>
    <w:p w14:paraId="1507D5D6" w14:textId="41648F64" w:rsidR="00716684" w:rsidRPr="00716684" w:rsidRDefault="00716684" w:rsidP="00716684">
      <w:pPr>
        <w:spacing w:before="240" w:after="240" w:line="259" w:lineRule="auto"/>
        <w:jc w:val="both"/>
      </w:pPr>
      <w:r w:rsidRPr="00716684">
        <w:t>Für Sinnesbehinderte ist ein Vertrauensverhältnis zur Assistenzperson von zentraler Bedeutung. Ein solches Vertrauensverhältnis muss mit einer fremden Drittperson zuerst aufgebaut werden, was sich für Sinnesbehinderte aufgrund der Behinderung äusserst schwierig gestaltet (z.B. fehlende Mimik, Gesten, usw.).</w:t>
      </w:r>
    </w:p>
    <w:p w14:paraId="68A3216C" w14:textId="77777777" w:rsidR="00716684" w:rsidRPr="00716684" w:rsidRDefault="00716684" w:rsidP="00716684">
      <w:pPr>
        <w:spacing w:before="240" w:after="240" w:line="259" w:lineRule="auto"/>
        <w:jc w:val="both"/>
      </w:pPr>
      <w:r w:rsidRPr="00716684">
        <w:t>Bei taubblinden Menschen, die nur in taktiler Gebärdensprache oder mit Lormen kommunizieren können, ist es zudem sehr schwierig, kompetente Assistenzpersonen zu finden, die oft auch weit verstreut wohnen und deren Anfahrtsweg vom Assistenzbeitrag nicht berücksichtigt wird.</w:t>
      </w:r>
    </w:p>
    <w:p w14:paraId="55460C4B" w14:textId="49DDD0BC" w:rsidR="00716684" w:rsidRPr="00716684" w:rsidRDefault="00716684" w:rsidP="00716684">
      <w:pPr>
        <w:spacing w:before="240" w:after="240" w:line="259" w:lineRule="auto"/>
        <w:jc w:val="both"/>
      </w:pPr>
      <w:r w:rsidRPr="00716684">
        <w:t xml:space="preserve">Im PAB konnten Assistenzleistungen auch auf Honorarbasis, also im Auftragsverhältnis eingekauft werden (z.B. Fahrdienste, Haushalthilfen, Entlastungsdienste usw.). Auf diese Weise </w:t>
      </w:r>
      <w:proofErr w:type="gramStart"/>
      <w:r w:rsidRPr="00716684">
        <w:t>kann</w:t>
      </w:r>
      <w:proofErr w:type="gramEnd"/>
      <w:r w:rsidRPr="00716684">
        <w:t xml:space="preserve"> der für Sinnesbehinderte schwer zu bewältigende administrative Aufwand im Arbeitgebermodell auf einen Schlag substanziell reduziert werden</w:t>
      </w:r>
      <w:r w:rsidR="006E2FE3">
        <w:t>.</w:t>
      </w:r>
    </w:p>
    <w:p w14:paraId="7B526DD6" w14:textId="77777777" w:rsidR="00716684" w:rsidRPr="00716684" w:rsidRDefault="00716684" w:rsidP="00716684">
      <w:pPr>
        <w:spacing w:before="240" w:after="240" w:line="259" w:lineRule="auto"/>
        <w:jc w:val="both"/>
      </w:pPr>
      <w:r w:rsidRPr="00716684">
        <w:t>Im PAB konnte beobachtet werden, dass die unterschiedlichen Modelle vielfach nebeneinander in Anspruch genommen wurden. Durch diese Wahlfreiheiten kann der Alltag bedürfnisgerecht organisiert werden.</w:t>
      </w:r>
    </w:p>
    <w:p w14:paraId="244CADB8" w14:textId="77777777" w:rsidR="00716684" w:rsidRPr="00716684" w:rsidRDefault="00716684" w:rsidP="00716684">
      <w:pPr>
        <w:spacing w:before="240" w:after="240" w:line="259" w:lineRule="auto"/>
        <w:jc w:val="both"/>
      </w:pPr>
      <w:r w:rsidRPr="00716684">
        <w:lastRenderedPageBreak/>
        <w:t>Diese beiden, für Sinnesbehinderte zentralen Punkte des PAB wurden im AB IV gestrichen.</w:t>
      </w:r>
    </w:p>
    <w:p w14:paraId="2CB132CD" w14:textId="6BE30428" w:rsidR="00716684" w:rsidRPr="00716684" w:rsidRDefault="00E36FE7" w:rsidP="00E36FE7">
      <w:pPr>
        <w:pStyle w:val="berschrift3"/>
        <w:spacing w:before="480"/>
        <w:rPr>
          <w:rFonts w:ascii="Arial" w:hAnsi="Arial" w:cs="Arial"/>
          <w:b/>
          <w:bCs/>
          <w:color w:val="auto"/>
        </w:rPr>
      </w:pPr>
      <w:bookmarkStart w:id="84" w:name="_Toc210057857"/>
      <w:bookmarkStart w:id="85" w:name="_Toc210903237"/>
      <w:r w:rsidRPr="00E36FE7">
        <w:rPr>
          <w:rFonts w:ascii="Arial" w:hAnsi="Arial" w:cs="Arial"/>
          <w:color w:val="auto"/>
        </w:rPr>
        <w:t xml:space="preserve">4.4.4 </w:t>
      </w:r>
      <w:r w:rsidR="00716684" w:rsidRPr="00716684">
        <w:rPr>
          <w:rFonts w:ascii="Arial" w:hAnsi="Arial" w:cs="Arial"/>
          <w:color w:val="auto"/>
        </w:rPr>
        <w:t>Umfragen bestätigen Annahmen</w:t>
      </w:r>
      <w:bookmarkEnd w:id="84"/>
      <w:bookmarkEnd w:id="85"/>
    </w:p>
    <w:p w14:paraId="24F6BCD7" w14:textId="5D9D9B3B" w:rsidR="00716684" w:rsidRPr="00716684" w:rsidRDefault="00716684" w:rsidP="00716684">
      <w:pPr>
        <w:spacing w:before="240" w:after="240" w:line="259" w:lineRule="auto"/>
        <w:jc w:val="both"/>
      </w:pPr>
      <w:r w:rsidRPr="00716684">
        <w:t>Eine Umfrage</w:t>
      </w:r>
      <w:r w:rsidRPr="00716684">
        <w:rPr>
          <w:vertAlign w:val="superscript"/>
        </w:rPr>
        <w:footnoteReference w:id="51"/>
      </w:r>
      <w:r w:rsidRPr="00716684">
        <w:t xml:space="preserve"> unter Betroffenen ergab, dass von den Teilnehmenden lediglich 41% einen AB der IV beziehen. Dies bedeutet auch, dass mehr als die Hälfte der Interessierten keinen AB der IV beziehen, obwohl weit über die Hälfte (68.5%) im IV-Alter sind, also potenzielle Anspruchsberechtigte.</w:t>
      </w:r>
    </w:p>
    <w:p w14:paraId="18325CEC" w14:textId="12B01936" w:rsidR="00716684" w:rsidRPr="00716684" w:rsidRDefault="00716684" w:rsidP="00716684">
      <w:pPr>
        <w:spacing w:before="240" w:after="240" w:line="259" w:lineRule="auto"/>
        <w:jc w:val="both"/>
      </w:pPr>
      <w:r w:rsidRPr="00716684">
        <w:t>86.61% befürworten Entschädigung von Angehörigen und drei Viertel (75.59%) begrüssen es, Dienstleistungen im Auftragsverhältnis einkaufen zu können.</w:t>
      </w:r>
      <w:r w:rsidR="00A679BD">
        <w:t xml:space="preserve"> </w:t>
      </w:r>
      <w:r w:rsidRPr="00716684">
        <w:t>Die Forderungen nach Anpassung des Assistenzbeitrages für Sinnesbehinderte entspringen einem sehr breiten Bedürfnis.</w:t>
      </w:r>
    </w:p>
    <w:p w14:paraId="5F239A95" w14:textId="3EBBE1CE" w:rsidR="00716684" w:rsidRPr="00716684" w:rsidRDefault="00E36FE7" w:rsidP="00E36FE7">
      <w:pPr>
        <w:pStyle w:val="berschrift3"/>
        <w:spacing w:before="480"/>
        <w:rPr>
          <w:rFonts w:ascii="Arial" w:hAnsi="Arial" w:cs="Arial"/>
          <w:b/>
          <w:bCs/>
          <w:color w:val="auto"/>
        </w:rPr>
      </w:pPr>
      <w:bookmarkStart w:id="86" w:name="_Toc210057858"/>
      <w:bookmarkStart w:id="87" w:name="_Toc210903238"/>
      <w:r w:rsidRPr="00E36FE7">
        <w:rPr>
          <w:rFonts w:ascii="Arial" w:hAnsi="Arial" w:cs="Arial"/>
          <w:color w:val="auto"/>
        </w:rPr>
        <w:t xml:space="preserve">4.4.5 </w:t>
      </w:r>
      <w:r w:rsidR="00716684" w:rsidRPr="00716684">
        <w:rPr>
          <w:rFonts w:ascii="Arial" w:hAnsi="Arial" w:cs="Arial"/>
          <w:color w:val="auto"/>
        </w:rPr>
        <w:t>Bedarfsermittlung</w:t>
      </w:r>
      <w:bookmarkEnd w:id="86"/>
      <w:bookmarkEnd w:id="87"/>
    </w:p>
    <w:p w14:paraId="113EDF6A" w14:textId="732403F4" w:rsidR="00716684" w:rsidRPr="00716684" w:rsidRDefault="00716684" w:rsidP="00716684">
      <w:pPr>
        <w:spacing w:before="240" w:after="240" w:line="259" w:lineRule="auto"/>
        <w:jc w:val="both"/>
      </w:pPr>
      <w:r w:rsidRPr="00716684">
        <w:t>Aufgrund der obigen Schilderung muss festgestellt werden, dass das aktuelle System des Assistenzbeitrages in der IV die Bedürfnisse von Sinnesbehinderten viel zu wenig widerspiegelt. Sinnesbehinderte passen nicht in dieses System.</w:t>
      </w:r>
      <w:r w:rsidR="00A679BD">
        <w:t xml:space="preserve"> </w:t>
      </w:r>
      <w:r w:rsidRPr="00716684">
        <w:t>Da der Gesetzgeber dies erkannte, hat er bereits bei der Ausgestaltung der Hilflosenentschädigung Sonderfälle geschaffen (siehe Kapitel 3 Grade der Hilflosigkeit KSH).</w:t>
      </w:r>
    </w:p>
    <w:p w14:paraId="0BBAEA4E" w14:textId="695C102B" w:rsidR="00716684" w:rsidRPr="00716684" w:rsidRDefault="00716684" w:rsidP="00716684">
      <w:pPr>
        <w:spacing w:before="240" w:after="240" w:line="259" w:lineRule="auto"/>
        <w:jc w:val="both"/>
      </w:pPr>
      <w:r w:rsidRPr="00716684">
        <w:t>Aus diesem Grund schlägt das schweizerische Blinden- und Sehbehindertenwesen vor, Sinnesbehinderte auch bei Assistenzleistungen als Sonderfall anzuerkennen und die rechtlichen Grundlagen (</w:t>
      </w:r>
      <w:hyperlink r:id="rId19" w:anchor="_Anhang_1" w:history="1">
        <w:r w:rsidRPr="00716684">
          <w:rPr>
            <w:rStyle w:val="Hyperlink"/>
          </w:rPr>
          <w:t>Vorschlag siehe Anhang 1</w:t>
        </w:r>
      </w:hyperlink>
      <w:r w:rsidRPr="00716684">
        <w:t>) dafür zu schaffen.</w:t>
      </w:r>
      <w:r w:rsidR="00A679BD">
        <w:t xml:space="preserve"> </w:t>
      </w:r>
      <w:r w:rsidRPr="00716684">
        <w:t>Dazu muss ein anderes Bedarfsermittlungsinstrument zum Einsatz kommen, das behinderungsspezifischen Anforderungen gerecht wird.</w:t>
      </w:r>
    </w:p>
    <w:p w14:paraId="1CBB6537" w14:textId="2C3865EC" w:rsidR="00716684" w:rsidRPr="00716684" w:rsidRDefault="00716684" w:rsidP="00716684">
      <w:pPr>
        <w:spacing w:before="240" w:after="240" w:line="259" w:lineRule="auto"/>
        <w:jc w:val="both"/>
      </w:pPr>
      <w:r w:rsidRPr="00716684">
        <w:t>Heute liegt den IV-Abklärungsinstrumenten ein defizitbasiertes medizinisches Modell von Behinderung zugrunde. Ein neues Abklärungsinstrument sollte den Kompetenzen und Fähigkeiten der versicherten Personen mehr Achtsamkeit entgegenbringen und ihnen nicht die Beweislast der Unfähigkeit und Unselbständigkeit übertragen.</w:t>
      </w:r>
    </w:p>
    <w:p w14:paraId="5C26AF44" w14:textId="6DBBDC7B" w:rsidR="00716684" w:rsidRPr="00716684" w:rsidRDefault="00716684" w:rsidP="00716684">
      <w:pPr>
        <w:spacing w:before="240" w:after="240" w:line="259" w:lineRule="auto"/>
        <w:jc w:val="both"/>
      </w:pPr>
      <w:r w:rsidRPr="00716684">
        <w:t>Aufgrund der Schwierigkeiten sinnesbehinderter Personen und der Empfehlung in der Studie</w:t>
      </w:r>
      <w:r w:rsidRPr="00716684">
        <w:rPr>
          <w:vertAlign w:val="superscript"/>
        </w:rPr>
        <w:footnoteReference w:id="52"/>
      </w:r>
      <w:r w:rsidRPr="00716684">
        <w:t xml:space="preserve">, wonach das Abklärungsverfahren neu entwickelt werden sollte, veranlasst das schweizerische Blinden- und Sehbehindertenwesen auf Verbesserungen im FAKT zu verzichten und stattdessen ein Abklärungsverfahren vorzuschlagen, das </w:t>
      </w:r>
      <w:r w:rsidR="008E11A4">
        <w:t xml:space="preserve">den </w:t>
      </w:r>
      <w:r w:rsidRPr="00716684">
        <w:t>spezifische</w:t>
      </w:r>
      <w:r w:rsidR="008E11A4">
        <w:t>n</w:t>
      </w:r>
      <w:r w:rsidRPr="00716684">
        <w:t xml:space="preserve"> und individuelle</w:t>
      </w:r>
      <w:r w:rsidR="008E11A4">
        <w:t>n</w:t>
      </w:r>
      <w:r w:rsidRPr="00716684">
        <w:t xml:space="preserve"> Unterstützungsbedarf auch tatsächlich erfasst. Es bietet offene Fragen an, bei dem die Selbsteinschätzung der versicherten Personen im </w:t>
      </w:r>
      <w:r w:rsidRPr="00716684">
        <w:lastRenderedPageBreak/>
        <w:t>Mittelpunkt steht. Individuelle Aktivitäten sowie Präferenzen können besser zum Ausdruck gebracht werden. So wird Sinnesbehinderten im gesamten Abklärungsverfahren mit einer Wertehaltung begegnet, die Wertschätzung für die vorhandenen Kompetenzen zum Ausdruck bringt.</w:t>
      </w:r>
    </w:p>
    <w:p w14:paraId="6842628E" w14:textId="18C413B2" w:rsidR="00716684" w:rsidRPr="00716684" w:rsidRDefault="00716684" w:rsidP="00716684">
      <w:pPr>
        <w:spacing w:before="240" w:after="240" w:line="259" w:lineRule="auto"/>
        <w:jc w:val="both"/>
      </w:pPr>
      <w:r w:rsidRPr="00716684">
        <w:t>Das Kernstück jeder Bedarfsabklärung bildet das Instrument zur Bedarfsermittlung. Um das Prinzip eines neuen, für Sinnesbehinderte geeigneten Instruments darzulegen, wird der Unterstützungsplan wie er zurzeit im Kanton St. Gallen in Diskussion ist, als Beispiel herangezogen.</w:t>
      </w:r>
      <w:r w:rsidR="00A679BD">
        <w:t xml:space="preserve"> </w:t>
      </w:r>
      <w:r w:rsidRPr="00716684">
        <w:t>Dabei wird der individuelle Unterstützungsbedarf des Menschen mit Behinderung erfasst und basierend darauf ermittelt, welche Unterstützungsleistungen nötig sind.</w:t>
      </w:r>
      <w:r w:rsidR="00A679BD">
        <w:t xml:space="preserve"> </w:t>
      </w:r>
      <w:r w:rsidRPr="00716684">
        <w:t xml:space="preserve">Das als Beispiel </w:t>
      </w:r>
      <w:r w:rsidR="000C1567">
        <w:t xml:space="preserve">herangezogene </w:t>
      </w:r>
      <w:r w:rsidRPr="00716684">
        <w:t>St. Galler System der Bedarfsermittlung basiert auf einer Analyse der bestehenden Bedarfsermittlungssysteme in anderen Deutschschweizer Kantonen und einigen europäischen Nachbarstaaten. Es fusst auf dem Verständnis von Behinderung der Internationalen Klassifikation der Funktionsfähigkeit, Behinderung und Gesundheit (ICF) der Weltgesundheitsorganisation (WHO) und erfüllt die Anforderungen der UN-BRK. Der hier zur Erläuterung dienende St. Galler Unterstützungsplan (SUP) ist eine angepasste Version des individuellen Hilfeplans (IHP) aus dem Jahr 2003, der in unterschiedlichen Deutschschweizer Kantonen in verschiedenen Versionen angewendet wird. Der SUP basiert wie der IHP auf dem Grundgedanken, dass Menschen mit Behinderung Expertinnen und Experten ihrer Lebenssituation sind und deshalb im Verfahren eine zentrale Rolle einnehmen sollen. Dies entspricht auch dem Verständnis der UN-BRK. Menschen mit Behinderung sind nicht als «Trägerinnen» bzw. «Träger» eines persönlichen Defizits anzusehen, sondern dabei zu unterstützen, die ihnen bei der gleichberechtigten und selbstbestimmten Teilhabe am Leben in der Gesellschaft im Weg stehenden Barrieren zu überwinden. Der SUP ist geeignet, einen individualisierten Zugang zu schaffen, der die Bedürfnisse und Aktivitäten der Menschen mit Behinderung in den Vordergrund rückt.</w:t>
      </w:r>
    </w:p>
    <w:p w14:paraId="0942F853" w14:textId="6FE7E557" w:rsidR="00716684" w:rsidRPr="00716684" w:rsidRDefault="00716684" w:rsidP="00716684">
      <w:pPr>
        <w:spacing w:before="240" w:after="240" w:line="259" w:lineRule="auto"/>
        <w:jc w:val="both"/>
      </w:pPr>
      <w:r w:rsidRPr="00716684">
        <w:t>Im Zentrum des gesamten Bedarfsermittlungsprozesses steht immer die Person mit Behinderung, unabhängig von der Behinderungsart oder dem Behinderungsgrad (blind, sehbehinderte, hör-/sehbehindert, taubblind). Das Verfahren gewährleistet die Teilhabe der Menschen mit Behinderung am Prozess sowie die Unabhängigkeit und fachliche Qualität der Bedarfseinschätzung. Sie legt fest, welcher Anspruch an welcher Art von Unterstützungsleistung besteht, die dann im Rahmen der Leistungserbringung finanziell abgegolten wird.</w:t>
      </w:r>
    </w:p>
    <w:p w14:paraId="70361DDA" w14:textId="2E56289A" w:rsidR="00716684" w:rsidRPr="00716684" w:rsidRDefault="00716684" w:rsidP="00716684">
      <w:pPr>
        <w:spacing w:before="240" w:after="240" w:line="259" w:lineRule="auto"/>
        <w:jc w:val="both"/>
      </w:pPr>
      <w:r w:rsidRPr="00716684">
        <w:t xml:space="preserve">Der hier zitierte Unterstützungsplan «SUP» erfasst zuerst die Ziele der Menschen mit Behinderung in verschiedenen Lebensbereichen und ermittelt dann die individuell erforderlichen Unterstützungsleistungen. Im Zentrum steht die Frage, was eine Person benötigt, um am gesellschaftlichen Leben teilhaben zu können.  Die Person mit Unterstützungsbedarf steht beim Unterstützungsplan im Zentrum. Sie soll den Fragebogen deshalb möglichst selbstständig ausfüllen. Eine selbst gewählte Vertrauensperson kann sie beim Ausfüllen unterstützen. Vertrauenspersonen sollen – wenn immer möglich – durch die betroffene Person </w:t>
      </w:r>
      <w:proofErr w:type="gramStart"/>
      <w:r w:rsidRPr="00716684">
        <w:t>selber</w:t>
      </w:r>
      <w:proofErr w:type="gramEnd"/>
      <w:r w:rsidRPr="00716684">
        <w:t xml:space="preserve"> ausgewählt werden. Vertrauenspersonen können z.B. Angehörige, Freundinnen bzw. Freunde oder weitere Bezugspersonen sein. In begründeten Fällen, wie z.B. bei eingeschränkten Kommunikationsmöglichkeiten oder anderen Hinderungsgründen, kann es nötig sein, dass das Ausfüllen des </w:t>
      </w:r>
      <w:r w:rsidRPr="00716684">
        <w:lastRenderedPageBreak/>
        <w:t>Unterstützungsplans ganz an die Vertretungsperson delegiert wird. Sie kann den Fragebogen dann stellvertretend für die Person mit Unterstützungsbedarf ausfüllen. Neben der Selbsteinschätzung der betroffenen Person ergänzt idealerweise eine externe Sicht die Erhebung. Diese erfolgt durch eine vertraute Person oder durch eine Fachperson. Der Unterstützungsplan umfasst somit immer die persönliche Sicht und Einschätzung der Person selbst sowie eine ergänzende externe Sicht.</w:t>
      </w:r>
    </w:p>
    <w:p w14:paraId="6724276F" w14:textId="7F9D5844" w:rsidR="00716684" w:rsidRPr="00716684" w:rsidRDefault="00E36FE7" w:rsidP="00E36FE7">
      <w:pPr>
        <w:pStyle w:val="berschrift3"/>
        <w:spacing w:before="480"/>
        <w:rPr>
          <w:rFonts w:ascii="Arial" w:hAnsi="Arial" w:cs="Arial"/>
          <w:b/>
          <w:bCs/>
          <w:color w:val="auto"/>
        </w:rPr>
      </w:pPr>
      <w:bookmarkStart w:id="88" w:name="_Toc210057859"/>
      <w:bookmarkStart w:id="89" w:name="_Toc210903239"/>
      <w:r w:rsidRPr="00E36FE7">
        <w:rPr>
          <w:rFonts w:ascii="Arial" w:hAnsi="Arial" w:cs="Arial"/>
          <w:color w:val="auto"/>
        </w:rPr>
        <w:t xml:space="preserve">4.4.6 </w:t>
      </w:r>
      <w:r w:rsidR="00716684" w:rsidRPr="00716684">
        <w:rPr>
          <w:rFonts w:ascii="Arial" w:hAnsi="Arial" w:cs="Arial"/>
          <w:color w:val="auto"/>
        </w:rPr>
        <w:t>Einschätzungsstelle, Plausibilisierung des Bedarfs</w:t>
      </w:r>
      <w:bookmarkEnd w:id="88"/>
      <w:bookmarkEnd w:id="89"/>
    </w:p>
    <w:p w14:paraId="7109B53F" w14:textId="77777777" w:rsidR="00716684" w:rsidRPr="00716684" w:rsidRDefault="00716684" w:rsidP="00716684">
      <w:pPr>
        <w:spacing w:before="240" w:after="240" w:line="259" w:lineRule="auto"/>
        <w:jc w:val="both"/>
      </w:pPr>
      <w:r w:rsidRPr="00716684">
        <w:t>Der mit dem SUP erfasste Unterstützungsbedarf einer Person wird durch die unabhängige fachliche Einschätzungsstelle plausibilisiert und überprüft.</w:t>
      </w:r>
    </w:p>
    <w:p w14:paraId="3CDE9272" w14:textId="5444D423" w:rsidR="00716684" w:rsidRPr="00716684" w:rsidRDefault="00716684" w:rsidP="00716684">
      <w:pPr>
        <w:spacing w:before="240" w:after="240" w:line="259" w:lineRule="auto"/>
        <w:jc w:val="both"/>
      </w:pPr>
      <w:r w:rsidRPr="00716684">
        <w:t xml:space="preserve">Dazu führt die Einschätzungsstelle auf Grundlage des ausgefüllten </w:t>
      </w:r>
      <w:proofErr w:type="gramStart"/>
      <w:r w:rsidRPr="00716684">
        <w:t>SUP Gespräche</w:t>
      </w:r>
      <w:proofErr w:type="gramEnd"/>
      <w:r w:rsidRPr="00716684">
        <w:t xml:space="preserve"> mit den am Unterstützungsplan beteiligten Personen und/oder besucht diese in ihrem Wohnumfeld.</w:t>
      </w:r>
      <w:r w:rsidR="006E2FE3">
        <w:t xml:space="preserve"> </w:t>
      </w:r>
      <w:r w:rsidRPr="00716684">
        <w:t>Sie macht eine Empfehlung an die IV-Stelle bezüglich des Leistungsanspruchs. Aufgrund dieser Empfehlung verfügt die zuständige IV-Stelle den Leistungsumfang.</w:t>
      </w:r>
    </w:p>
    <w:p w14:paraId="7062AB23" w14:textId="36AD47D0" w:rsidR="00716684" w:rsidRPr="00716684" w:rsidRDefault="00716684" w:rsidP="00716684">
      <w:pPr>
        <w:spacing w:before="240" w:after="240" w:line="259" w:lineRule="auto"/>
        <w:jc w:val="both"/>
      </w:pPr>
      <w:r w:rsidRPr="00716684">
        <w:t>Die Einschätzungsstelle berät und schult zudem die Stellen, die Beratungsleistungen im Bedarfsermittlungsprozess erbringen.</w:t>
      </w:r>
      <w:r w:rsidR="006E2FE3">
        <w:t xml:space="preserve"> </w:t>
      </w:r>
      <w:r w:rsidRPr="00716684">
        <w:t>Die Einschätzungsstelle ist sowohl organisatorisch als auch operativ unabhängig von der Invalidenversicherung und anderen staatlichen Stellen. Das Mandat für die Einschätzungsstelle beruht auf einem entsprechenden Leistungsvertrag.</w:t>
      </w:r>
    </w:p>
    <w:p w14:paraId="4EE7471F" w14:textId="240B3156" w:rsidR="00716684" w:rsidRPr="00716684" w:rsidRDefault="00716684" w:rsidP="00716684">
      <w:pPr>
        <w:spacing w:before="240" w:after="240" w:line="259" w:lineRule="auto"/>
        <w:jc w:val="both"/>
      </w:pPr>
      <w:r w:rsidRPr="00716684">
        <w:t>Zwingend zu vermeiden sind dabei Interessenskonflikte. So darf die für die Bedarfseinschätzung verantwortliche Stelle nicht zugleich beratend bei der individuellen Bedarfsermittlung mitwirken oder als Leistungserbringende tätig sein.</w:t>
      </w:r>
    </w:p>
    <w:p w14:paraId="7665B1F7" w14:textId="77777777" w:rsidR="00A679BD" w:rsidRPr="00A679BD" w:rsidRDefault="00A679BD" w:rsidP="00A679BD">
      <w:pPr>
        <w:spacing w:before="240" w:after="240"/>
        <w:rPr>
          <w:rFonts w:cs="Arial"/>
          <w:b/>
          <w:bCs/>
          <w:color w:val="000000" w:themeColor="text1"/>
          <w:szCs w:val="24"/>
        </w:rPr>
      </w:pPr>
      <w:bookmarkStart w:id="90" w:name="_Toc210057860"/>
      <w:r w:rsidRPr="00A679BD">
        <w:rPr>
          <w:rFonts w:cs="Arial"/>
          <w:b/>
          <w:bCs/>
          <w:color w:val="000000" w:themeColor="text1"/>
          <w:szCs w:val="24"/>
        </w:rPr>
        <w:t xml:space="preserve">Wir fordern daher: </w:t>
      </w:r>
    </w:p>
    <w:p w14:paraId="36694578" w14:textId="77777777" w:rsidR="00A679BD" w:rsidRPr="00A679BD" w:rsidRDefault="00A679BD" w:rsidP="00A679BD">
      <w:pPr>
        <w:pStyle w:val="Textkrper"/>
        <w:numPr>
          <w:ilvl w:val="0"/>
          <w:numId w:val="24"/>
        </w:numPr>
        <w:pBdr>
          <w:top w:val="single" w:sz="4" w:space="1" w:color="auto"/>
          <w:left w:val="single" w:sz="4" w:space="4" w:color="auto"/>
          <w:bottom w:val="single" w:sz="4" w:space="1" w:color="auto"/>
          <w:right w:val="single" w:sz="4" w:space="4" w:color="auto"/>
        </w:pBdr>
        <w:shd w:val="clear" w:color="auto" w:fill="E5DFEC" w:themeFill="accent4" w:themeFillTint="33"/>
        <w:overflowPunct/>
        <w:autoSpaceDE/>
        <w:autoSpaceDN/>
        <w:adjustRightInd/>
        <w:spacing w:before="240" w:after="240" w:line="280" w:lineRule="exact"/>
        <w:jc w:val="both"/>
        <w:textAlignment w:val="auto"/>
        <w:rPr>
          <w:rFonts w:ascii="Arial" w:hAnsi="Arial" w:cs="Arial"/>
          <w:b/>
          <w:bCs/>
          <w:lang w:eastAsia="de-CH"/>
        </w:rPr>
      </w:pPr>
      <w:r w:rsidRPr="00A679BD">
        <w:rPr>
          <w:rFonts w:ascii="Arial" w:hAnsi="Arial" w:cs="Arial"/>
          <w:b/>
          <w:bCs/>
          <w:lang w:eastAsia="de-CH"/>
        </w:rPr>
        <w:t xml:space="preserve">Auf das Bedarfsabklärungsinstrument FAKT ist zu verzichten und es ist ein neues Abklärungsinstrument (z.B. individuelle Hilfeplan IHP) einzusetzen. </w:t>
      </w:r>
    </w:p>
    <w:p w14:paraId="7F9AE66E" w14:textId="77777777" w:rsidR="00A679BD" w:rsidRPr="00A679BD" w:rsidRDefault="00A679BD" w:rsidP="00A679BD">
      <w:pPr>
        <w:pStyle w:val="Textkrper"/>
        <w:numPr>
          <w:ilvl w:val="0"/>
          <w:numId w:val="24"/>
        </w:numPr>
        <w:pBdr>
          <w:top w:val="single" w:sz="4" w:space="1" w:color="auto"/>
          <w:left w:val="single" w:sz="4" w:space="4" w:color="auto"/>
          <w:bottom w:val="single" w:sz="4" w:space="1" w:color="auto"/>
          <w:right w:val="single" w:sz="4" w:space="4" w:color="auto"/>
        </w:pBdr>
        <w:shd w:val="clear" w:color="auto" w:fill="E5DFEC" w:themeFill="accent4" w:themeFillTint="33"/>
        <w:overflowPunct/>
        <w:autoSpaceDE/>
        <w:autoSpaceDN/>
        <w:adjustRightInd/>
        <w:spacing w:before="240" w:after="240" w:line="280" w:lineRule="exact"/>
        <w:jc w:val="both"/>
        <w:textAlignment w:val="auto"/>
        <w:rPr>
          <w:rFonts w:ascii="Arial" w:hAnsi="Arial" w:cs="Arial"/>
          <w:b/>
          <w:bCs/>
          <w:lang w:eastAsia="de-CH"/>
        </w:rPr>
      </w:pPr>
      <w:r w:rsidRPr="00A679BD">
        <w:rPr>
          <w:rFonts w:ascii="Arial" w:hAnsi="Arial" w:cs="Arial"/>
          <w:b/>
          <w:bCs/>
          <w:lang w:eastAsia="de-CH"/>
        </w:rPr>
        <w:t>Für Personen mit einer Sinnesbehinderung ist ein Assistenzbeitrag im Sonderfall zu gewähren.</w:t>
      </w:r>
    </w:p>
    <w:p w14:paraId="748701FE" w14:textId="2AB79045" w:rsidR="00A679BD" w:rsidRPr="00A679BD" w:rsidRDefault="00A679BD" w:rsidP="00A679BD">
      <w:pPr>
        <w:pStyle w:val="Textkrper"/>
        <w:numPr>
          <w:ilvl w:val="0"/>
          <w:numId w:val="24"/>
        </w:numPr>
        <w:pBdr>
          <w:top w:val="single" w:sz="4" w:space="1" w:color="auto"/>
          <w:left w:val="single" w:sz="4" w:space="4" w:color="auto"/>
          <w:bottom w:val="single" w:sz="4" w:space="1" w:color="auto"/>
          <w:right w:val="single" w:sz="4" w:space="4" w:color="auto"/>
        </w:pBdr>
        <w:shd w:val="clear" w:color="auto" w:fill="E5DFEC" w:themeFill="accent4" w:themeFillTint="33"/>
        <w:overflowPunct/>
        <w:autoSpaceDE/>
        <w:autoSpaceDN/>
        <w:adjustRightInd/>
        <w:spacing w:before="240" w:after="240" w:line="280" w:lineRule="exact"/>
        <w:jc w:val="both"/>
        <w:textAlignment w:val="auto"/>
        <w:rPr>
          <w:rFonts w:ascii="Arial" w:hAnsi="Arial" w:cs="Arial"/>
          <w:b/>
          <w:bCs/>
          <w:lang w:eastAsia="de-CH"/>
        </w:rPr>
      </w:pPr>
      <w:r w:rsidRPr="00A679BD">
        <w:rPr>
          <w:rFonts w:ascii="Arial" w:hAnsi="Arial" w:cs="Arial"/>
          <w:b/>
          <w:bCs/>
          <w:lang w:eastAsia="de-CH"/>
        </w:rPr>
        <w:t xml:space="preserve">Der Sonderfall für Sinnesbehinderte kann auf der Basis der im </w:t>
      </w:r>
      <w:hyperlink w:anchor="_Anhang_1" w:history="1">
        <w:r w:rsidRPr="00A679BD">
          <w:rPr>
            <w:rStyle w:val="Hyperlink"/>
            <w:rFonts w:ascii="Arial" w:hAnsi="Arial" w:cs="Arial"/>
            <w:b/>
            <w:bCs/>
            <w:lang w:eastAsia="de-CH"/>
          </w:rPr>
          <w:t>Anhang 1</w:t>
        </w:r>
      </w:hyperlink>
      <w:r w:rsidRPr="00A679BD">
        <w:rPr>
          <w:rFonts w:ascii="Arial" w:hAnsi="Arial" w:cs="Arial"/>
          <w:b/>
          <w:bCs/>
          <w:lang w:eastAsia="de-CH"/>
        </w:rPr>
        <w:t xml:space="preserve"> skizzierten Bestimmungen vorerst als Pilotprojekt eingeführt werden</w:t>
      </w:r>
      <w:r w:rsidR="009963DC">
        <w:rPr>
          <w:rFonts w:ascii="Arial" w:hAnsi="Arial" w:cs="Arial"/>
          <w:b/>
          <w:bCs/>
          <w:lang w:eastAsia="de-CH"/>
        </w:rPr>
        <w:t>.</w:t>
      </w:r>
    </w:p>
    <w:p w14:paraId="62B72C16" w14:textId="77777777" w:rsidR="00716684" w:rsidRPr="00E36FE7" w:rsidRDefault="00716684" w:rsidP="00E36FE7">
      <w:pPr>
        <w:pStyle w:val="berschrift2"/>
        <w:spacing w:before="480"/>
        <w:rPr>
          <w:rFonts w:ascii="Arial" w:hAnsi="Arial" w:cs="Arial"/>
          <w:b/>
          <w:color w:val="auto"/>
          <w:sz w:val="24"/>
          <w:szCs w:val="24"/>
        </w:rPr>
      </w:pPr>
      <w:bookmarkStart w:id="91" w:name="_Toc210903240"/>
      <w:r w:rsidRPr="00E36FE7">
        <w:rPr>
          <w:rFonts w:ascii="Arial" w:hAnsi="Arial" w:cs="Arial"/>
          <w:b/>
          <w:color w:val="auto"/>
          <w:sz w:val="24"/>
          <w:szCs w:val="24"/>
        </w:rPr>
        <w:t>4.5 Hilfsmittel</w:t>
      </w:r>
      <w:bookmarkEnd w:id="90"/>
      <w:bookmarkEnd w:id="91"/>
    </w:p>
    <w:p w14:paraId="28233610" w14:textId="77777777" w:rsidR="00716684" w:rsidRPr="00716684" w:rsidRDefault="00716684" w:rsidP="00716684">
      <w:pPr>
        <w:spacing w:before="240" w:after="240" w:line="259" w:lineRule="auto"/>
        <w:jc w:val="both"/>
      </w:pPr>
      <w:r w:rsidRPr="00716684">
        <w:t xml:space="preserve">Damit Menschen mit Behinderungen aller Altersgruppen gesellschaftliche Kontakte pflegen und aktiv am Berufsleben teilnehmen können, sind sie auf den Zugang und die Abgabe von ausreichenden Hilfsmitteln und Unterstützungsleistungen angewiesen. Nur wenn der Zugang zu Hilfsmitteln und Unterstützungsleistungen im notwendigen Umfang sichergestellt ist, ist auch die soziale Teilhabe und die Teilhabe am beruflichen und gesellschaftlichen Leben sichergestellt, so wie es die Inklusions-Initiative fordert. </w:t>
      </w:r>
      <w:r w:rsidRPr="00716684">
        <w:lastRenderedPageBreak/>
        <w:t>Das heutige System wird dieser Forderung nicht gerecht und es braucht dringend substanzielle Verbesserungen.</w:t>
      </w:r>
    </w:p>
    <w:p w14:paraId="69DDD721" w14:textId="6F8B205F" w:rsidR="00716684" w:rsidRPr="00716684" w:rsidRDefault="00716684" w:rsidP="00716684">
      <w:pPr>
        <w:spacing w:before="240" w:after="240" w:line="259" w:lineRule="auto"/>
        <w:jc w:val="both"/>
      </w:pPr>
      <w:r w:rsidRPr="00716684">
        <w:t xml:space="preserve">Sollen Hilfsmittel zur gesellschaftlichen Teilhabe und Inklusion beitragen, muss die Liste der Hilfsmittel im AHV-Bereich (HVA, Anhang) deutlich ausgebaut und der Liste der Hilfsmittel im IV-Bereich (HVI, Anhang) angeglichen werden. Für die Aufrechterhaltung des Kontakts mit der Umwelt braucht es insbesondere auch für schwerhörige oder gehörlose Personen im AHV-Alter die Möglichkeit, Dienstleistungen Dritter, wie Gebärdensprach- und </w:t>
      </w:r>
      <w:proofErr w:type="spellStart"/>
      <w:r w:rsidRPr="00716684">
        <w:t>Schriftdolmetschleistungen</w:t>
      </w:r>
      <w:proofErr w:type="spellEnd"/>
      <w:r w:rsidRPr="00716684">
        <w:t>, in Anspruch zu nehmen. Sich hinter den unterschiedlichen Zielsetzungen von AHV (primäre Rentenversicherung) und IV (Eingliederungsversicherung in Beruf und Gesellschaft) zu verstecken, ist nicht mehr zeitgemäss und widerspricht der BRK. Eine Erweiterung der Liste der Hilfsmittel im AHV-Bereich verlangt auch die bereits im September 2023 an den Bundesrat überwiesene Motion 22.4261. Sie hält fest, dass eine "smarte" Auswahl an Hilfsmitteln die Mobilität und Eigenständigkeit von Menschen mit Behinderung im Alter ermöglicht, das selbstbestimmte Leben gefördert und Heimeintritte verhindert oder massgeblich verzögert werden können.</w:t>
      </w:r>
    </w:p>
    <w:p w14:paraId="7E930C96" w14:textId="77777777" w:rsidR="00716684" w:rsidRPr="00716684" w:rsidRDefault="00716684" w:rsidP="00716684">
      <w:pPr>
        <w:spacing w:before="240" w:after="240" w:line="259" w:lineRule="auto"/>
        <w:jc w:val="both"/>
      </w:pPr>
      <w:r w:rsidRPr="00716684">
        <w:t>Aber nicht nur im AHV-Bereich, auch im IV-Bereich besteht dringender Handlungsbedarf. So ist der Zugang zu Hörgeräten sowohl in der AHV als auch in der IV substanziell zu verbessern; ist doch wissenschaftlich erwiesen, dass eine frühe Versorgung mit Hörgeräten den grössten Nutzen bringt und gesellschaftliche Folgekosten verringern kann.</w:t>
      </w:r>
      <w:r w:rsidRPr="00716684">
        <w:rPr>
          <w:vertAlign w:val="superscript"/>
        </w:rPr>
        <w:footnoteReference w:id="53"/>
      </w:r>
      <w:r w:rsidRPr="00716684">
        <w:rPr>
          <w:vertAlign w:val="superscript"/>
        </w:rPr>
        <w:t xml:space="preserve"> </w:t>
      </w:r>
      <w:r w:rsidRPr="00716684">
        <w:t>Ein besserer Zugang lässt sich einerseits durch die Herabsetzung der im KSHA und im KHMI erwähnten Eintrittsschwelle für die Finanzierung eines Hörgeräts durch die AHV und durch die IV erreichen. Andererseits würden auch verbindliche und transparente Standards dazu beitragen, dass Menschen mit einer Hörbehinderung die Preise der einzelnen Produkte besser nachvollziehen und sich somit für die kosteneffizienteste Lösung entscheiden können.</w:t>
      </w:r>
    </w:p>
    <w:p w14:paraId="6A56E381" w14:textId="77777777" w:rsidR="00716684" w:rsidRPr="00716684" w:rsidRDefault="00716684" w:rsidP="00716684">
      <w:pPr>
        <w:spacing w:before="240" w:after="240" w:line="259" w:lineRule="auto"/>
        <w:jc w:val="both"/>
      </w:pPr>
      <w:r w:rsidRPr="00716684">
        <w:t xml:space="preserve">Weiter sollten Dienstleistungen Dritter, wie insbesondere Gebärdensprach- und </w:t>
      </w:r>
      <w:proofErr w:type="spellStart"/>
      <w:r w:rsidRPr="00716684">
        <w:t>Schriftdolmetschleistungen</w:t>
      </w:r>
      <w:proofErr w:type="spellEnd"/>
      <w:r w:rsidRPr="00716684">
        <w:t xml:space="preserve">, nicht nur auf die Überwindung des Arbeitswegs, die Ausübung des Berufs und den Erwerb von Fähigkeiten für die Aufrechterhaltung des Kontakts mit der Umwelt ausgerichtet werden können. Es braucht in Art. 9 Abs. 2 HVI und darüber hinaus auch einen davon unabhängigen subjektfinanzierten Anspruch auf Dienstleistungen Dritter und somit Gebärdensprach- und </w:t>
      </w:r>
      <w:proofErr w:type="spellStart"/>
      <w:r w:rsidRPr="00716684">
        <w:t>Schriftdolmetschleistungen</w:t>
      </w:r>
      <w:proofErr w:type="spellEnd"/>
      <w:r w:rsidRPr="00716684">
        <w:t xml:space="preserve"> für die Pflege gesellschaftlicher Kontakte selbst, wie z.B. den Besuch gesellschaftlicher oder kultureller Anlässe. Hinzu kommt, dass die Höchstgrenze von CHF 22’680.-- pro Jahr für Dienstleistungen Dritter zwar seit Anfang 2024 flexibel eingesetzt werden kann; die somit rund 120 </w:t>
      </w:r>
      <w:proofErr w:type="spellStart"/>
      <w:r w:rsidRPr="00716684">
        <w:t>Gebärdesprachdolmetschstunden</w:t>
      </w:r>
      <w:proofErr w:type="spellEnd"/>
      <w:r w:rsidRPr="00716684">
        <w:t xml:space="preserve"> pro Jahr und somit durchschnittlich rund 10 </w:t>
      </w:r>
      <w:proofErr w:type="spellStart"/>
      <w:r w:rsidRPr="00716684">
        <w:t>Gebärdesprachdolmetschstunden</w:t>
      </w:r>
      <w:proofErr w:type="spellEnd"/>
      <w:r w:rsidRPr="00716684">
        <w:t xml:space="preserve"> Monat reichen in </w:t>
      </w:r>
      <w:proofErr w:type="spellStart"/>
      <w:r w:rsidRPr="00716684">
        <w:t>kommunikationslastigen</w:t>
      </w:r>
      <w:proofErr w:type="spellEnd"/>
      <w:r w:rsidRPr="00716684">
        <w:t xml:space="preserve"> Berufen aber keineswegs aus. Eine substanzielle Erhöhung des Höchstwerts, v.a. hinsichtlich der Ausübung des Berufs, ist daher angezeigt. Hier setzt auch die vom Nationalrat bereits angenommenen Motion 25.3007 an.</w:t>
      </w:r>
    </w:p>
    <w:p w14:paraId="2262C660" w14:textId="77777777" w:rsidR="00716684" w:rsidRPr="00716684" w:rsidRDefault="00716684" w:rsidP="00716684">
      <w:pPr>
        <w:spacing w:before="240" w:after="240" w:line="259" w:lineRule="auto"/>
        <w:jc w:val="both"/>
      </w:pPr>
      <w:r w:rsidRPr="00716684">
        <w:lastRenderedPageBreak/>
        <w:t xml:space="preserve">Darüber hinaus gilt es, für Menschen adäquate Lösungen zu finden, welche zwar auf Gebärdensprach- und </w:t>
      </w:r>
      <w:proofErr w:type="spellStart"/>
      <w:r w:rsidRPr="00716684">
        <w:t>Schriftdolmetschleistungen</w:t>
      </w:r>
      <w:proofErr w:type="spellEnd"/>
      <w:r w:rsidRPr="00716684">
        <w:t xml:space="preserve"> angewiesen sind, jedoch keinen gesetzlichen Anspruch darauf haben. Dies betrifft z.B. Personen aus Ländern ohne Sozialversicherungsabkommen mit der Schweiz, die bereits mit der gesundheitlichen Beeinträchtigung in die Schweiz eingereist sind, oder Personen, welche erst nach dem AHV-Rentenalter auf entsprechende Leistungen angewiesen sind.</w:t>
      </w:r>
    </w:p>
    <w:p w14:paraId="26628847" w14:textId="77777777" w:rsidR="00F729BA" w:rsidRDefault="00716684" w:rsidP="00F729BA">
      <w:pPr>
        <w:spacing w:before="240" w:after="240" w:line="259" w:lineRule="auto"/>
        <w:jc w:val="both"/>
        <w:rPr>
          <w:b/>
          <w:bCs/>
        </w:rPr>
      </w:pPr>
      <w:r w:rsidRPr="00716684">
        <w:rPr>
          <w:b/>
          <w:bCs/>
        </w:rPr>
        <w:t>Will man den Anliegen der Inklusions-Initiative ausreichend Rechnung tragen, braucht es bei den Hilfsmitteln sowohl im AHV- als auch im IV-Bereich substanzielle Verbesserungen.</w:t>
      </w:r>
      <w:bookmarkStart w:id="92" w:name="_Anhang_1"/>
      <w:bookmarkStart w:id="93" w:name="_Toc210057861"/>
      <w:bookmarkEnd w:id="92"/>
    </w:p>
    <w:p w14:paraId="05023C83" w14:textId="61D79456" w:rsidR="00A679BD" w:rsidRPr="00A679BD" w:rsidRDefault="00A679BD" w:rsidP="00F729BA">
      <w:pPr>
        <w:spacing w:before="240" w:after="240" w:line="259" w:lineRule="auto"/>
        <w:jc w:val="both"/>
        <w:rPr>
          <w:rFonts w:cs="Arial"/>
          <w:b/>
          <w:bCs/>
        </w:rPr>
      </w:pPr>
      <w:r w:rsidRPr="00A679BD">
        <w:rPr>
          <w:rFonts w:cs="Arial"/>
          <w:b/>
          <w:bCs/>
        </w:rPr>
        <w:t xml:space="preserve">Wir fordern daher: </w:t>
      </w:r>
    </w:p>
    <w:p w14:paraId="41D8318D" w14:textId="77777777" w:rsidR="00A679BD" w:rsidRPr="00A679BD" w:rsidRDefault="00A679BD" w:rsidP="00A679BD">
      <w:pPr>
        <w:pStyle w:val="Textkrper"/>
        <w:numPr>
          <w:ilvl w:val="0"/>
          <w:numId w:val="24"/>
        </w:numPr>
        <w:pBdr>
          <w:top w:val="single" w:sz="4" w:space="1" w:color="auto"/>
          <w:left w:val="single" w:sz="4" w:space="4" w:color="auto"/>
          <w:bottom w:val="single" w:sz="4" w:space="1" w:color="auto"/>
          <w:right w:val="single" w:sz="4" w:space="4" w:color="auto"/>
        </w:pBdr>
        <w:shd w:val="clear" w:color="auto" w:fill="E5DFEC" w:themeFill="accent4" w:themeFillTint="33"/>
        <w:overflowPunct/>
        <w:autoSpaceDE/>
        <w:autoSpaceDN/>
        <w:adjustRightInd/>
        <w:spacing w:before="240" w:after="240" w:line="280" w:lineRule="exact"/>
        <w:jc w:val="both"/>
        <w:textAlignment w:val="auto"/>
        <w:rPr>
          <w:rFonts w:ascii="Arial" w:hAnsi="Arial" w:cs="Arial"/>
          <w:b/>
          <w:bCs/>
          <w:lang w:eastAsia="de-CH"/>
        </w:rPr>
      </w:pPr>
      <w:r w:rsidRPr="00A679BD">
        <w:rPr>
          <w:rFonts w:ascii="Arial" w:hAnsi="Arial" w:cs="Arial"/>
          <w:b/>
          <w:bCs/>
          <w:lang w:eastAsia="de-CH"/>
        </w:rPr>
        <w:t>Die Liste der Hilfsmittel im AHV-Bereich ist zu erweitern.</w:t>
      </w:r>
    </w:p>
    <w:p w14:paraId="1DF1BE66" w14:textId="77777777" w:rsidR="00A679BD" w:rsidRPr="00A679BD" w:rsidRDefault="00A679BD" w:rsidP="00A679BD">
      <w:pPr>
        <w:pStyle w:val="Textkrper"/>
        <w:numPr>
          <w:ilvl w:val="0"/>
          <w:numId w:val="24"/>
        </w:numPr>
        <w:pBdr>
          <w:top w:val="single" w:sz="4" w:space="1" w:color="auto"/>
          <w:left w:val="single" w:sz="4" w:space="4" w:color="auto"/>
          <w:bottom w:val="single" w:sz="4" w:space="1" w:color="auto"/>
          <w:right w:val="single" w:sz="4" w:space="4" w:color="auto"/>
        </w:pBdr>
        <w:shd w:val="clear" w:color="auto" w:fill="E5DFEC" w:themeFill="accent4" w:themeFillTint="33"/>
        <w:overflowPunct/>
        <w:autoSpaceDE/>
        <w:autoSpaceDN/>
        <w:adjustRightInd/>
        <w:spacing w:before="240" w:after="240" w:line="280" w:lineRule="exact"/>
        <w:jc w:val="both"/>
        <w:textAlignment w:val="auto"/>
        <w:rPr>
          <w:rFonts w:ascii="Arial" w:hAnsi="Arial" w:cs="Arial"/>
          <w:b/>
          <w:bCs/>
          <w:lang w:eastAsia="de-CH"/>
        </w:rPr>
      </w:pPr>
      <w:r w:rsidRPr="00A679BD">
        <w:rPr>
          <w:rFonts w:ascii="Arial" w:hAnsi="Arial" w:cs="Arial"/>
          <w:b/>
          <w:bCs/>
          <w:lang w:eastAsia="de-CH"/>
        </w:rPr>
        <w:t xml:space="preserve">Der Zugang zu Hörgeräten im AHV- und im IV-Bereich ist zu erleichtern. </w:t>
      </w:r>
    </w:p>
    <w:p w14:paraId="5E22102A" w14:textId="77777777" w:rsidR="00A679BD" w:rsidRPr="00A679BD" w:rsidRDefault="00A679BD" w:rsidP="00A679BD">
      <w:pPr>
        <w:pStyle w:val="Textkrper"/>
        <w:numPr>
          <w:ilvl w:val="0"/>
          <w:numId w:val="24"/>
        </w:numPr>
        <w:pBdr>
          <w:top w:val="single" w:sz="4" w:space="1" w:color="auto"/>
          <w:left w:val="single" w:sz="4" w:space="4" w:color="auto"/>
          <w:bottom w:val="single" w:sz="4" w:space="1" w:color="auto"/>
          <w:right w:val="single" w:sz="4" w:space="4" w:color="auto"/>
        </w:pBdr>
        <w:shd w:val="clear" w:color="auto" w:fill="E5DFEC" w:themeFill="accent4" w:themeFillTint="33"/>
        <w:overflowPunct/>
        <w:autoSpaceDE/>
        <w:autoSpaceDN/>
        <w:adjustRightInd/>
        <w:spacing w:before="240" w:after="240" w:line="280" w:lineRule="exact"/>
        <w:jc w:val="both"/>
        <w:textAlignment w:val="auto"/>
        <w:rPr>
          <w:rFonts w:ascii="Arial" w:eastAsiaTheme="minorEastAsia" w:hAnsi="Arial" w:cs="Arial"/>
          <w:b/>
          <w:lang w:eastAsia="de-CH"/>
        </w:rPr>
      </w:pPr>
      <w:r w:rsidRPr="00A679BD">
        <w:rPr>
          <w:rFonts w:ascii="Arial" w:eastAsiaTheme="minorEastAsia" w:hAnsi="Arial" w:cs="Arial"/>
          <w:b/>
          <w:lang w:eastAsia="de-CH"/>
        </w:rPr>
        <w:t>Die Dienstleistungen Dritter sind auf die gesellschaftliche Teilhabe und die Pflege des Kontakts mit der Umw</w:t>
      </w:r>
      <w:r w:rsidRPr="00A679BD">
        <w:rPr>
          <w:rFonts w:ascii="Arial" w:eastAsiaTheme="minorEastAsia" w:hAnsi="Arial" w:cs="Arial"/>
          <w:b/>
          <w:szCs w:val="24"/>
          <w:lang w:eastAsia="de-CH"/>
        </w:rPr>
        <w:t>elt auszudehnen. Der Anspruch muss subjektfinanziert ausgestaltet sein.</w:t>
      </w:r>
    </w:p>
    <w:p w14:paraId="5BD3158A" w14:textId="77777777" w:rsidR="00A679BD" w:rsidRPr="00A679BD" w:rsidRDefault="00A679BD" w:rsidP="00A679BD">
      <w:pPr>
        <w:pStyle w:val="Textkrper"/>
        <w:numPr>
          <w:ilvl w:val="0"/>
          <w:numId w:val="24"/>
        </w:numPr>
        <w:pBdr>
          <w:top w:val="single" w:sz="4" w:space="1" w:color="auto"/>
          <w:left w:val="single" w:sz="4" w:space="4" w:color="auto"/>
          <w:bottom w:val="single" w:sz="4" w:space="1" w:color="auto"/>
          <w:right w:val="single" w:sz="4" w:space="4" w:color="auto"/>
        </w:pBdr>
        <w:shd w:val="clear" w:color="auto" w:fill="E5DFEC" w:themeFill="accent4" w:themeFillTint="33"/>
        <w:overflowPunct/>
        <w:autoSpaceDE/>
        <w:autoSpaceDN/>
        <w:adjustRightInd/>
        <w:spacing w:before="240" w:after="240" w:line="280" w:lineRule="exact"/>
        <w:jc w:val="both"/>
        <w:textAlignment w:val="auto"/>
        <w:rPr>
          <w:rFonts w:ascii="Arial" w:eastAsiaTheme="minorEastAsia" w:hAnsi="Arial" w:cs="Arial"/>
          <w:b/>
          <w:bCs/>
          <w:szCs w:val="24"/>
          <w:lang w:eastAsia="de-CH"/>
        </w:rPr>
      </w:pPr>
      <w:r w:rsidRPr="00A679BD">
        <w:rPr>
          <w:rFonts w:ascii="Arial" w:eastAsiaTheme="minorEastAsia" w:hAnsi="Arial" w:cs="Arial"/>
          <w:b/>
          <w:bCs/>
          <w:szCs w:val="24"/>
          <w:lang w:eastAsia="de-CH"/>
        </w:rPr>
        <w:t>Der Höchstbetrag der Dienstleistungen Dritter für die Ausübung des Berufs ist zu erhöhen.</w:t>
      </w:r>
    </w:p>
    <w:p w14:paraId="35C69165" w14:textId="77777777" w:rsidR="00E32C97" w:rsidRDefault="00C959B1" w:rsidP="00E32C97">
      <w:pPr>
        <w:spacing w:before="480"/>
      </w:pPr>
      <w:bookmarkStart w:id="94" w:name="_Toc210903241"/>
      <w:r w:rsidRPr="00716684">
        <w:t>Der Schweizerische Blindenbund dankt Ihnen für die Gelegenheit zur Stellungnahme und bittet Sie, die für blinde und sehbehinderte Menschen äusserst wichtigen Anliegen zu berücksichtigen.</w:t>
      </w:r>
      <w:bookmarkStart w:id="95" w:name="_Hlk190425320"/>
    </w:p>
    <w:p w14:paraId="478206BC" w14:textId="2063F54F" w:rsidR="00C959B1" w:rsidRPr="00E32C97" w:rsidRDefault="00C959B1" w:rsidP="00E32C97">
      <w:pPr>
        <w:spacing w:before="480"/>
      </w:pPr>
      <w:r w:rsidRPr="00C959B1">
        <w:rPr>
          <w:rFonts w:cs="Arial"/>
          <w:szCs w:val="24"/>
        </w:rPr>
        <w:t>Freundliche Grüsse</w:t>
      </w:r>
    </w:p>
    <w:p w14:paraId="639E1C4F" w14:textId="77777777" w:rsidR="00E32C97" w:rsidRDefault="00C959B1" w:rsidP="00C959B1">
      <w:pPr>
        <w:rPr>
          <w:rFonts w:cs="Arial"/>
          <w:b/>
          <w:bCs/>
          <w:szCs w:val="24"/>
        </w:rPr>
      </w:pPr>
      <w:r w:rsidRPr="00C959B1">
        <w:rPr>
          <w:rFonts w:cs="Arial"/>
          <w:b/>
          <w:bCs/>
          <w:szCs w:val="24"/>
        </w:rPr>
        <w:t xml:space="preserve">Schweizerischer Blindenbund </w:t>
      </w:r>
    </w:p>
    <w:p w14:paraId="731D8AE6" w14:textId="77777777" w:rsidR="00E32C97" w:rsidRDefault="00E32C97" w:rsidP="00C959B1">
      <w:pPr>
        <w:rPr>
          <w:rFonts w:cs="Arial"/>
          <w:b/>
          <w:bCs/>
          <w:szCs w:val="24"/>
        </w:rPr>
      </w:pPr>
    </w:p>
    <w:p w14:paraId="6E8457FB" w14:textId="43B0DD10" w:rsidR="00C959B1" w:rsidRPr="00C959B1" w:rsidRDefault="00C959B1" w:rsidP="00C959B1">
      <w:pPr>
        <w:rPr>
          <w:rFonts w:cs="Arial"/>
          <w:b/>
          <w:bCs/>
          <w:szCs w:val="24"/>
        </w:rPr>
      </w:pPr>
      <w:r w:rsidRPr="00C959B1">
        <w:rPr>
          <w:rFonts w:cs="Arial"/>
          <w:b/>
          <w:bCs/>
          <w:szCs w:val="24"/>
        </w:rPr>
        <w:t xml:space="preserve">Dominik Gertschen </w:t>
      </w:r>
      <w:r w:rsidRPr="00C959B1">
        <w:rPr>
          <w:rFonts w:cs="Arial"/>
          <w:b/>
          <w:bCs/>
          <w:szCs w:val="24"/>
        </w:rPr>
        <w:tab/>
      </w:r>
      <w:r w:rsidRPr="00C959B1">
        <w:rPr>
          <w:rFonts w:cs="Arial"/>
          <w:b/>
          <w:bCs/>
          <w:szCs w:val="24"/>
        </w:rPr>
        <w:tab/>
      </w:r>
      <w:r w:rsidRPr="00C959B1">
        <w:rPr>
          <w:rFonts w:cs="Arial"/>
          <w:b/>
          <w:bCs/>
          <w:szCs w:val="24"/>
        </w:rPr>
        <w:tab/>
      </w:r>
      <w:r w:rsidRPr="00C959B1">
        <w:rPr>
          <w:rFonts w:cs="Arial"/>
          <w:b/>
          <w:bCs/>
          <w:szCs w:val="24"/>
        </w:rPr>
        <w:tab/>
        <w:t>Roland Gossweiler</w:t>
      </w:r>
    </w:p>
    <w:p w14:paraId="66302D5F" w14:textId="2FD1EAEC" w:rsidR="00C959B1" w:rsidRPr="00C959B1" w:rsidRDefault="00C959B1" w:rsidP="00C959B1">
      <w:pPr>
        <w:ind w:left="4950" w:hanging="4950"/>
        <w:rPr>
          <w:rFonts w:cs="Arial"/>
          <w:szCs w:val="24"/>
        </w:rPr>
      </w:pPr>
      <w:r w:rsidRPr="00C959B1">
        <w:rPr>
          <w:rFonts w:cs="Arial"/>
          <w:szCs w:val="24"/>
        </w:rPr>
        <w:t>Präsident</w:t>
      </w:r>
      <w:bookmarkEnd w:id="95"/>
      <w:r w:rsidRPr="00C959B1">
        <w:rPr>
          <w:rFonts w:cs="Arial"/>
          <w:szCs w:val="24"/>
        </w:rPr>
        <w:tab/>
      </w:r>
      <w:r>
        <w:rPr>
          <w:rFonts w:cs="Arial"/>
          <w:szCs w:val="24"/>
        </w:rPr>
        <w:tab/>
      </w:r>
      <w:r w:rsidRPr="00C959B1">
        <w:rPr>
          <w:rFonts w:cs="Arial"/>
          <w:szCs w:val="24"/>
        </w:rPr>
        <w:t>Delegierter des Vorstandes für Sozi</w:t>
      </w:r>
      <w:r w:rsidR="007574A3">
        <w:rPr>
          <w:rFonts w:cs="Arial"/>
          <w:szCs w:val="24"/>
        </w:rPr>
        <w:t>al</w:t>
      </w:r>
      <w:r w:rsidRPr="00C959B1">
        <w:rPr>
          <w:rFonts w:cs="Arial"/>
          <w:szCs w:val="24"/>
        </w:rPr>
        <w:t>politik und Interessenvertretung</w:t>
      </w:r>
    </w:p>
    <w:p w14:paraId="614972A5" w14:textId="77777777" w:rsidR="00C959B1" w:rsidRPr="00C959B1" w:rsidRDefault="00C959B1" w:rsidP="00C959B1">
      <w:pPr>
        <w:tabs>
          <w:tab w:val="left" w:pos="5103"/>
        </w:tabs>
        <w:rPr>
          <w:rFonts w:cs="Arial"/>
          <w:szCs w:val="24"/>
        </w:rPr>
      </w:pPr>
      <w:r>
        <w:rPr>
          <w:noProof/>
          <w:lang w:val="de-DE"/>
        </w:rPr>
        <w:drawing>
          <wp:inline distT="0" distB="0" distL="0" distR="0" wp14:anchorId="59C01BAD" wp14:editId="39F29FBA">
            <wp:extent cx="442322" cy="1111348"/>
            <wp:effectExtent l="0" t="0" r="0" b="0"/>
            <wp:docPr id="1583363405" name="Grafik 1" descr="Ein Bild, das Schwarz, Dunkelhei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363405" name="Grafik 1" descr="Ein Bild, das Schwarz, Dunkelheit enthält.&#10;&#10;KI-generierte Inhalte können fehlerhaft sei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1940" cy="1185765"/>
                    </a:xfrm>
                    <a:prstGeom prst="rect">
                      <a:avLst/>
                    </a:prstGeom>
                    <a:noFill/>
                    <a:ln>
                      <a:noFill/>
                    </a:ln>
                  </pic:spPr>
                </pic:pic>
              </a:graphicData>
            </a:graphic>
          </wp:inline>
        </w:drawing>
      </w:r>
      <w:r w:rsidRPr="00C959B1">
        <w:rPr>
          <w:rFonts w:cs="Arial"/>
          <w:szCs w:val="24"/>
        </w:rPr>
        <w:tab/>
      </w:r>
      <w:r>
        <w:rPr>
          <w:noProof/>
          <w:lang w:val="de-DE"/>
        </w:rPr>
        <w:drawing>
          <wp:inline distT="0" distB="0" distL="0" distR="0" wp14:anchorId="2BE68148" wp14:editId="44FA7169">
            <wp:extent cx="1983544" cy="1111034"/>
            <wp:effectExtent l="0" t="0" r="0" b="0"/>
            <wp:docPr id="1" name="Bild 1" descr="Unterschrift Roland Gossweiler, Delegierter des Vorstandes für Sozialpolitik und Interessenvertre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Unterschrift Roland Gossweiler, Delegierter des Vorstandes für Sozialpolitik und Interessenvertretun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50573" t="62697" r="15826" b="25884"/>
                    <a:stretch/>
                  </pic:blipFill>
                  <pic:spPr bwMode="auto">
                    <a:xfrm>
                      <a:off x="0" y="0"/>
                      <a:ext cx="2037393" cy="1141196"/>
                    </a:xfrm>
                    <a:prstGeom prst="rect">
                      <a:avLst/>
                    </a:prstGeom>
                    <a:noFill/>
                    <a:ln>
                      <a:noFill/>
                    </a:ln>
                    <a:extLst>
                      <a:ext uri="{53640926-AAD7-44D8-BBD7-CCE9431645EC}">
                        <a14:shadowObscured xmlns:a14="http://schemas.microsoft.com/office/drawing/2010/main"/>
                      </a:ext>
                    </a:extLst>
                  </pic:spPr>
                </pic:pic>
              </a:graphicData>
            </a:graphic>
          </wp:inline>
        </w:drawing>
      </w:r>
    </w:p>
    <w:p w14:paraId="0CC4E498" w14:textId="77777777" w:rsidR="00C959B1" w:rsidRDefault="00C959B1" w:rsidP="00C959B1"/>
    <w:p w14:paraId="1951CF16" w14:textId="77777777" w:rsidR="00C959B1" w:rsidRDefault="00C959B1" w:rsidP="00C959B1">
      <w:pPr>
        <w:sectPr w:rsidR="00C959B1" w:rsidSect="001604BA">
          <w:headerReference w:type="first" r:id="rId22"/>
          <w:pgSz w:w="11906" w:h="16838" w:code="9"/>
          <w:pgMar w:top="-1559" w:right="1558" w:bottom="1134" w:left="1247" w:header="851" w:footer="397" w:gutter="0"/>
          <w:cols w:space="720"/>
          <w:titlePg/>
        </w:sectPr>
      </w:pPr>
    </w:p>
    <w:p w14:paraId="6CB6B457" w14:textId="78824387" w:rsidR="00716684" w:rsidRPr="001522E4" w:rsidRDefault="00716684" w:rsidP="001522E4">
      <w:pPr>
        <w:pStyle w:val="berschrift2"/>
        <w:spacing w:before="480"/>
        <w:rPr>
          <w:rFonts w:ascii="Arial" w:hAnsi="Arial" w:cs="Arial"/>
          <w:b/>
          <w:color w:val="auto"/>
          <w:sz w:val="24"/>
          <w:szCs w:val="24"/>
        </w:rPr>
      </w:pPr>
      <w:r w:rsidRPr="001522E4">
        <w:rPr>
          <w:rFonts w:ascii="Arial" w:hAnsi="Arial" w:cs="Arial"/>
          <w:b/>
          <w:color w:val="auto"/>
          <w:sz w:val="24"/>
          <w:szCs w:val="24"/>
        </w:rPr>
        <w:lastRenderedPageBreak/>
        <w:t>Anhang 1</w:t>
      </w:r>
      <w:bookmarkEnd w:id="93"/>
      <w:bookmarkEnd w:id="94"/>
    </w:p>
    <w:p w14:paraId="383160B2" w14:textId="77777777" w:rsidR="00716684" w:rsidRPr="00716684" w:rsidRDefault="00716684" w:rsidP="00870CD3">
      <w:pPr>
        <w:spacing w:before="160" w:after="160" w:line="216" w:lineRule="auto"/>
        <w:jc w:val="both"/>
      </w:pPr>
      <w:r w:rsidRPr="00716684">
        <w:t xml:space="preserve">Konzeptueller Vorschlag Formulierung Art. 42a ff. IVG </w:t>
      </w:r>
    </w:p>
    <w:p w14:paraId="59576680" w14:textId="77777777" w:rsidR="00716684" w:rsidRPr="00716684" w:rsidRDefault="00716684" w:rsidP="00870CD3">
      <w:pPr>
        <w:spacing w:before="160" w:after="160" w:line="216" w:lineRule="auto"/>
        <w:jc w:val="both"/>
      </w:pPr>
      <w:r w:rsidRPr="00716684">
        <w:t>- Legistik, abschliessende Koordination und Vollständigkeit vorbehalten</w:t>
      </w:r>
    </w:p>
    <w:p w14:paraId="0904348A" w14:textId="77777777" w:rsidR="00716684" w:rsidRPr="00716684" w:rsidRDefault="00716684" w:rsidP="00870CD3">
      <w:pPr>
        <w:spacing w:before="160" w:after="160" w:line="216" w:lineRule="auto"/>
        <w:jc w:val="both"/>
      </w:pPr>
      <w:r w:rsidRPr="00716684">
        <w:t>Art. 42quater IVG (bisher):</w:t>
      </w:r>
    </w:p>
    <w:p w14:paraId="0160452A" w14:textId="77777777" w:rsidR="00716684" w:rsidRPr="00716684" w:rsidRDefault="00716684" w:rsidP="00870CD3">
      <w:pPr>
        <w:spacing w:before="160" w:after="160" w:line="216" w:lineRule="auto"/>
        <w:jc w:val="both"/>
      </w:pPr>
      <w:r w:rsidRPr="00716684">
        <w:t>2 Der Bundesrat legt die Voraussetzungen fest, unter denen Personen mit eingeschränkter Handlungsfähigkeit keinen Anspruch auf einen Assistenzbeitrag haben.</w:t>
      </w:r>
    </w:p>
    <w:p w14:paraId="654A041E" w14:textId="77777777" w:rsidR="00716684" w:rsidRPr="00716684" w:rsidRDefault="00716684" w:rsidP="00870CD3">
      <w:pPr>
        <w:spacing w:before="160" w:after="160" w:line="216" w:lineRule="auto"/>
        <w:jc w:val="both"/>
      </w:pPr>
      <w:r w:rsidRPr="00716684">
        <w:t>Art. 42quater IVG (neu, sofern bisherige Formulierung aufgrund Revision nicht mehr benötigt wird):</w:t>
      </w:r>
    </w:p>
    <w:p w14:paraId="638CE503" w14:textId="77777777" w:rsidR="00716684" w:rsidRPr="00716684" w:rsidRDefault="00716684" w:rsidP="00870CD3">
      <w:pPr>
        <w:spacing w:before="160" w:after="160" w:line="216" w:lineRule="auto"/>
        <w:jc w:val="both"/>
      </w:pPr>
      <w:r w:rsidRPr="00716684">
        <w:t xml:space="preserve">2 Sinnesbehinderte bilden einen Sonderfall und haben Anspruch auf einen Assistenzbeitrag nach Art. 42a ff. </w:t>
      </w:r>
    </w:p>
    <w:p w14:paraId="2F3AA1E5" w14:textId="77777777" w:rsidR="00716684" w:rsidRPr="00716684" w:rsidRDefault="00716684" w:rsidP="00870CD3">
      <w:pPr>
        <w:spacing w:before="160" w:after="160" w:line="216" w:lineRule="auto"/>
        <w:jc w:val="both"/>
      </w:pPr>
      <w:r w:rsidRPr="00716684">
        <w:t>Gliederungstitel nach Art. 42octies (neu)</w:t>
      </w:r>
    </w:p>
    <w:p w14:paraId="7761A70E" w14:textId="77777777" w:rsidR="00716684" w:rsidRPr="00716684" w:rsidRDefault="00716684" w:rsidP="00870CD3">
      <w:pPr>
        <w:spacing w:before="160" w:after="160" w:line="216" w:lineRule="auto"/>
        <w:jc w:val="both"/>
      </w:pPr>
      <w:proofErr w:type="spellStart"/>
      <w:r w:rsidRPr="00716684">
        <w:t>Eter</w:t>
      </w:r>
      <w:proofErr w:type="spellEnd"/>
      <w:r w:rsidRPr="00716684">
        <w:t xml:space="preserve"> Der Assistenzbeitrag im Sonderfall</w:t>
      </w:r>
    </w:p>
    <w:p w14:paraId="7852AE42" w14:textId="77777777" w:rsidR="00716684" w:rsidRPr="00716684" w:rsidRDefault="00716684" w:rsidP="00870CD3">
      <w:pPr>
        <w:spacing w:before="160" w:after="160" w:line="216" w:lineRule="auto"/>
        <w:jc w:val="both"/>
      </w:pPr>
      <w:r w:rsidRPr="00716684">
        <w:t>Art. 42a Anspruch (neu)</w:t>
      </w:r>
    </w:p>
    <w:p w14:paraId="16F402A7" w14:textId="77777777" w:rsidR="00716684" w:rsidRPr="00716684" w:rsidRDefault="00716684" w:rsidP="00870CD3">
      <w:pPr>
        <w:spacing w:before="160" w:after="160" w:line="216" w:lineRule="auto"/>
        <w:jc w:val="both"/>
      </w:pPr>
      <w:r w:rsidRPr="00716684">
        <w:t>1 Blinde, sehbehinderte, hör-/sehbehinderte und taubblinde Personen haben Anspruch auf einen Assistenzbeitrag nach Art. 42quater Bst a - Bst c</w:t>
      </w:r>
    </w:p>
    <w:p w14:paraId="2A169111" w14:textId="77777777" w:rsidR="00716684" w:rsidRPr="00716684" w:rsidRDefault="00716684" w:rsidP="00870CD3">
      <w:pPr>
        <w:spacing w:before="160" w:after="160" w:line="216" w:lineRule="auto"/>
        <w:jc w:val="both"/>
      </w:pPr>
      <w:r w:rsidRPr="00716684">
        <w:t xml:space="preserve">2 Leistungsnutzende, die das Referenzalter nach dem Bundesgesetz über die Alters- und Hinterlassenenversicherung vom 20. Dezember </w:t>
      </w:r>
      <w:proofErr w:type="gramStart"/>
      <w:r w:rsidRPr="00716684">
        <w:t>1946  erreicht</w:t>
      </w:r>
      <w:proofErr w:type="gramEnd"/>
      <w:r w:rsidRPr="00716684">
        <w:t xml:space="preserve"> haben, haben Anspruch auf einen Assistenzbeitrag, soweit eine Invalidität nach Art. 8 ATSG und/oder eine Hilflosigkeit nach Art. 9 ATSG vor Erreichen des Referenzalters vorlag.</w:t>
      </w:r>
    </w:p>
    <w:p w14:paraId="3EC80F32" w14:textId="77777777" w:rsidR="00716684" w:rsidRPr="00716684" w:rsidRDefault="00716684" w:rsidP="00870CD3">
      <w:pPr>
        <w:spacing w:before="160" w:after="160" w:line="216" w:lineRule="auto"/>
        <w:jc w:val="both"/>
      </w:pPr>
      <w:r w:rsidRPr="00716684">
        <w:t>Art. 42b (neu) Gedeckte Hilfeleistungen</w:t>
      </w:r>
    </w:p>
    <w:p w14:paraId="1BFBB8B9" w14:textId="77777777" w:rsidR="00716684" w:rsidRPr="00716684" w:rsidRDefault="00716684" w:rsidP="00870CD3">
      <w:pPr>
        <w:spacing w:before="160" w:after="160" w:line="216" w:lineRule="auto"/>
        <w:jc w:val="both"/>
      </w:pPr>
      <w:r w:rsidRPr="00716684">
        <w:t>Ein Assistenzbeitrag wird gewährt für Hilfeleistungen, die von der versicherten Person benötigt und von folgenden Leistungserbringenden erbracht werden:</w:t>
      </w:r>
    </w:p>
    <w:p w14:paraId="22EA5698" w14:textId="77777777" w:rsidR="00716684" w:rsidRPr="00716684" w:rsidRDefault="00716684" w:rsidP="00870CD3">
      <w:pPr>
        <w:spacing w:before="160" w:after="160" w:line="216" w:lineRule="auto"/>
        <w:jc w:val="both"/>
      </w:pPr>
      <w:r w:rsidRPr="00716684">
        <w:t xml:space="preserve">a. natürlichen Personen, die </w:t>
      </w:r>
    </w:p>
    <w:p w14:paraId="1308C057" w14:textId="77777777" w:rsidR="00716684" w:rsidRPr="00716684" w:rsidRDefault="00716684" w:rsidP="00870CD3">
      <w:pPr>
        <w:spacing w:before="160" w:after="160" w:line="216" w:lineRule="auto"/>
        <w:jc w:val="both"/>
      </w:pPr>
      <w:r w:rsidRPr="00716684">
        <w:t>1. von der versicherten Person oder ihrer gesetzlichen Vertretung im Rahmen eines Arbeitsvertrages angestellt wird; oder</w:t>
      </w:r>
    </w:p>
    <w:p w14:paraId="51C78925" w14:textId="77777777" w:rsidR="00716684" w:rsidRPr="00716684" w:rsidRDefault="00716684" w:rsidP="00870CD3">
      <w:pPr>
        <w:spacing w:before="160" w:after="160" w:line="216" w:lineRule="auto"/>
        <w:jc w:val="both"/>
      </w:pPr>
      <w:r w:rsidRPr="00716684">
        <w:t>2. als Selbständigerwerbende gelten.</w:t>
      </w:r>
    </w:p>
    <w:p w14:paraId="6EE52B7A" w14:textId="77777777" w:rsidR="00716684" w:rsidRPr="00716684" w:rsidRDefault="00716684" w:rsidP="00870CD3">
      <w:pPr>
        <w:spacing w:before="160" w:after="160" w:line="216" w:lineRule="auto"/>
        <w:jc w:val="both"/>
      </w:pPr>
      <w:r w:rsidRPr="00716684">
        <w:t>b. Leistungserbringende, deren Dienstleistungen auf Honorarbasis abgerechnet werden können.</w:t>
      </w:r>
    </w:p>
    <w:p w14:paraId="68C1DBC2" w14:textId="77777777" w:rsidR="00716684" w:rsidRPr="00716684" w:rsidRDefault="00716684" w:rsidP="00870CD3">
      <w:pPr>
        <w:spacing w:before="160" w:after="160" w:line="216" w:lineRule="auto"/>
        <w:jc w:val="both"/>
      </w:pPr>
      <w:r w:rsidRPr="00716684">
        <w:t>Art. 42c (neu) Unterstützungsbedarf</w:t>
      </w:r>
    </w:p>
    <w:p w14:paraId="77D211FD" w14:textId="66A74E52" w:rsidR="00716684" w:rsidRPr="00716684" w:rsidRDefault="00716684" w:rsidP="00870CD3">
      <w:pPr>
        <w:spacing w:before="160" w:after="160" w:line="216" w:lineRule="auto"/>
        <w:jc w:val="both"/>
      </w:pPr>
      <w:r w:rsidRPr="00716684">
        <w:t>1 Der Unterstützungsbedarf wird durch ein Instrument ermittelt, das den behinderungsspezifischen Anforderungen gerecht wird und die versicherte Person im Zentrum des Prozesses steht.</w:t>
      </w:r>
    </w:p>
    <w:p w14:paraId="51091550" w14:textId="77777777" w:rsidR="00716684" w:rsidRPr="00716684" w:rsidRDefault="00716684" w:rsidP="00870CD3">
      <w:pPr>
        <w:spacing w:before="160" w:after="160" w:line="216" w:lineRule="auto"/>
        <w:jc w:val="both"/>
      </w:pPr>
      <w:r w:rsidRPr="00716684">
        <w:t>2 Die versicherte Person hat Anspruch auf Beratung und Unterstützung vor und während des Bedarfsermittlungsprozesses sowie Einsicht in die Unterlagen.</w:t>
      </w:r>
    </w:p>
    <w:p w14:paraId="64838862" w14:textId="77777777" w:rsidR="00716684" w:rsidRPr="00716684" w:rsidRDefault="00716684" w:rsidP="00870CD3">
      <w:pPr>
        <w:spacing w:before="160" w:after="160" w:line="216" w:lineRule="auto"/>
        <w:jc w:val="both"/>
      </w:pPr>
      <w:r w:rsidRPr="00716684">
        <w:t>3 Der Bundesrat regelt durch Verordnung weitere Einzelheiten zum Verfahren.</w:t>
      </w:r>
    </w:p>
    <w:p w14:paraId="25140E24" w14:textId="77777777" w:rsidR="00716684" w:rsidRPr="00716684" w:rsidRDefault="00716684" w:rsidP="00870CD3">
      <w:pPr>
        <w:spacing w:before="160" w:after="160" w:line="216" w:lineRule="auto"/>
        <w:jc w:val="both"/>
      </w:pPr>
      <w:r w:rsidRPr="00716684">
        <w:t>Art. 42d (neu) Einschätzungsstelle</w:t>
      </w:r>
    </w:p>
    <w:p w14:paraId="0D6F3C32" w14:textId="77777777" w:rsidR="00716684" w:rsidRPr="00716684" w:rsidRDefault="00716684" w:rsidP="00870CD3">
      <w:pPr>
        <w:spacing w:before="160" w:after="160" w:line="216" w:lineRule="auto"/>
        <w:jc w:val="both"/>
      </w:pPr>
      <w:r w:rsidRPr="00716684">
        <w:t xml:space="preserve">1 Der Bundesrat bezeichnet eine fachlich sowie von den Leistungserbringenden und von Behörden organisatorisch unabhängige Einschätzungsstelle.  </w:t>
      </w:r>
    </w:p>
    <w:p w14:paraId="7F64F7B8" w14:textId="77777777" w:rsidR="00716684" w:rsidRPr="00716684" w:rsidRDefault="00716684" w:rsidP="00870CD3">
      <w:pPr>
        <w:spacing w:before="160" w:after="160" w:line="216" w:lineRule="auto"/>
        <w:jc w:val="both"/>
      </w:pPr>
      <w:r w:rsidRPr="00716684">
        <w:lastRenderedPageBreak/>
        <w:t>2 Die Einschätzungsstelle führt die Bedarfsermittlung durch und bearbeitet die hierfür erforderlichen Personendaten.</w:t>
      </w:r>
    </w:p>
    <w:p w14:paraId="5F803877" w14:textId="77777777" w:rsidR="00716684" w:rsidRPr="00716684" w:rsidRDefault="00716684" w:rsidP="00870CD3">
      <w:pPr>
        <w:spacing w:before="160" w:after="160" w:line="216" w:lineRule="auto"/>
        <w:jc w:val="both"/>
      </w:pPr>
      <w:r w:rsidRPr="00716684">
        <w:t>Art. 42e (neu)</w:t>
      </w:r>
      <w:r w:rsidRPr="00716684">
        <w:tab/>
        <w:t>Leistungsbemessung</w:t>
      </w:r>
    </w:p>
    <w:p w14:paraId="5503195A" w14:textId="77777777" w:rsidR="00716684" w:rsidRPr="00716684" w:rsidRDefault="00716684" w:rsidP="00870CD3">
      <w:pPr>
        <w:spacing w:before="160" w:after="160" w:line="216" w:lineRule="auto"/>
        <w:jc w:val="both"/>
      </w:pPr>
      <w:r w:rsidRPr="00716684">
        <w:t xml:space="preserve">1 Auf Grundlage der Bedarfsermittlung schätzt die Einschätzungsstelle den Assistenzbedarf zuhanden der zuständigen IV-Stelle ein. </w:t>
      </w:r>
    </w:p>
    <w:p w14:paraId="72F06FA7" w14:textId="77777777" w:rsidR="00716684" w:rsidRPr="00716684" w:rsidRDefault="00716684" w:rsidP="00870CD3">
      <w:pPr>
        <w:spacing w:before="160" w:after="160" w:line="216" w:lineRule="auto"/>
        <w:jc w:val="both"/>
      </w:pPr>
      <w:r w:rsidRPr="00716684">
        <w:t xml:space="preserve">2 Bei versicherten Personen, die eine Hilflosenentschädigung im Sonderfall einer Taubblindheit beziehen und die auf Gebärdensprache oder Lormen angewiesen sind, werden die der Hilflosenentschädigung entsprechenden Stunden nicht abgezogen. </w:t>
      </w:r>
    </w:p>
    <w:p w14:paraId="0CF85155" w14:textId="77777777" w:rsidR="00716684" w:rsidRPr="00716684" w:rsidRDefault="00716684" w:rsidP="00870CD3">
      <w:pPr>
        <w:spacing w:before="160" w:after="160" w:line="216" w:lineRule="auto"/>
        <w:jc w:val="both"/>
      </w:pPr>
      <w:r w:rsidRPr="00716684">
        <w:t xml:space="preserve">3 Bei versicherten Personen, die eine Hilflosenentschädigung im Sonderfall einer Taubblindheit beziehen und die auf Gebärdensprache angewiesen sind, wird die DD nicht abgezogen. </w:t>
      </w:r>
    </w:p>
    <w:p w14:paraId="2D54E081" w14:textId="77777777" w:rsidR="00716684" w:rsidRPr="00716684" w:rsidRDefault="00716684" w:rsidP="00870CD3">
      <w:pPr>
        <w:spacing w:before="160" w:after="160" w:line="216" w:lineRule="auto"/>
        <w:jc w:val="both"/>
      </w:pPr>
      <w:r w:rsidRPr="00716684">
        <w:t>4 Die IV-Stelle verfügt die der versicherten Person zustehenden Assistenzleistungen.</w:t>
      </w:r>
    </w:p>
    <w:p w14:paraId="57F4E112" w14:textId="72CCC548" w:rsidR="007D16D0" w:rsidRPr="00C959B1" w:rsidRDefault="00716684" w:rsidP="00C959B1">
      <w:pPr>
        <w:spacing w:before="160" w:after="160" w:line="216" w:lineRule="auto"/>
        <w:jc w:val="both"/>
      </w:pPr>
      <w:r w:rsidRPr="00716684">
        <w:t>5 Der Bundesrat bestimmt durch Verordnung die Obergrenze verrechenbarer Stunden.</w:t>
      </w:r>
    </w:p>
    <w:sectPr w:rsidR="007D16D0" w:rsidRPr="00C959B1" w:rsidSect="001604BA">
      <w:pgSz w:w="11906" w:h="16838" w:code="9"/>
      <w:pgMar w:top="-1559" w:right="1558" w:bottom="1134" w:left="1247" w:header="851"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DB980" w14:textId="77777777" w:rsidR="005E1ED3" w:rsidRDefault="005E1ED3">
      <w:r>
        <w:separator/>
      </w:r>
    </w:p>
    <w:p w14:paraId="6C750BED" w14:textId="77777777" w:rsidR="003F6B09" w:rsidRDefault="003F6B09"/>
  </w:endnote>
  <w:endnote w:type="continuationSeparator" w:id="0">
    <w:p w14:paraId="7688EA6A" w14:textId="77777777" w:rsidR="005E1ED3" w:rsidRDefault="005E1ED3">
      <w:r>
        <w:continuationSeparator/>
      </w:r>
    </w:p>
    <w:p w14:paraId="7A17CE50" w14:textId="77777777" w:rsidR="003F6B09" w:rsidRDefault="003F6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Frutiger Neue 1450 Pro Regular">
    <w:altName w:val="Calibri"/>
    <w:charset w:val="00"/>
    <w:family w:val="swiss"/>
    <w:pitch w:val="variable"/>
    <w:sig w:usb0="A00000AF" w:usb1="5000207B" w:usb2="00000000" w:usb3="00000000" w:csb0="00000093"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mic Sans MS">
    <w:altName w:val="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2357F" w14:textId="77777777" w:rsidR="004A6875" w:rsidRPr="00F139BA" w:rsidRDefault="007574A3" w:rsidP="00F139BA">
    <w:pPr>
      <w:pStyle w:val="Fuzeile"/>
      <w:pBdr>
        <w:bottom w:val="single" w:sz="4" w:space="1" w:color="auto"/>
      </w:pBdr>
      <w:jc w:val="center"/>
      <w:rPr>
        <w:sz w:val="20"/>
      </w:rPr>
    </w:pPr>
    <w:sdt>
      <w:sdtPr>
        <w:rPr>
          <w:sz w:val="20"/>
        </w:rPr>
        <w:id w:val="1497686352"/>
        <w:docPartObj>
          <w:docPartGallery w:val="Page Numbers (Bottom of Page)"/>
          <w:docPartUnique/>
        </w:docPartObj>
      </w:sdtPr>
      <w:sdtEndPr/>
      <w:sdtContent>
        <w:r w:rsidR="004A6875" w:rsidRPr="00F139BA">
          <w:rPr>
            <w:sz w:val="20"/>
          </w:rPr>
          <w:fldChar w:fldCharType="begin"/>
        </w:r>
        <w:r w:rsidR="004A6875" w:rsidRPr="00F139BA">
          <w:rPr>
            <w:sz w:val="20"/>
          </w:rPr>
          <w:instrText>PAGE   \* MERGEFORMAT</w:instrText>
        </w:r>
        <w:r w:rsidR="004A6875" w:rsidRPr="00F139BA">
          <w:rPr>
            <w:sz w:val="20"/>
          </w:rPr>
          <w:fldChar w:fldCharType="separate"/>
        </w:r>
        <w:r w:rsidR="00063D84">
          <w:rPr>
            <w:noProof/>
            <w:sz w:val="20"/>
          </w:rPr>
          <w:t>2</w:t>
        </w:r>
        <w:r w:rsidR="004A6875" w:rsidRPr="00F139BA">
          <w:rPr>
            <w:sz w:val="20"/>
          </w:rPr>
          <w:fldChar w:fldCharType="end"/>
        </w:r>
      </w:sdtContent>
    </w:sdt>
  </w:p>
  <w:p w14:paraId="1ECB473E" w14:textId="77777777" w:rsidR="00475735" w:rsidRPr="004A6875" w:rsidRDefault="00475735" w:rsidP="004A6875">
    <w:pPr>
      <w:pStyle w:val="Fuzeile"/>
    </w:pPr>
  </w:p>
  <w:p w14:paraId="15884CDD" w14:textId="77777777" w:rsidR="003F6B09" w:rsidRDefault="003F6B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B423" w14:textId="77777777" w:rsidR="000D3A08" w:rsidRPr="009C042D" w:rsidRDefault="009C042D" w:rsidP="009C042D">
    <w:pPr>
      <w:pStyle w:val="Fuzeile"/>
      <w:pBdr>
        <w:top w:val="single" w:sz="4" w:space="1" w:color="auto"/>
      </w:pBdr>
      <w:jc w:val="center"/>
      <w:rPr>
        <w:rFonts w:cs="Arial"/>
        <w:sz w:val="19"/>
        <w:szCs w:val="19"/>
      </w:rPr>
    </w:pPr>
    <w:r w:rsidRPr="00FE2D17">
      <w:rPr>
        <w:rFonts w:cs="Arial"/>
        <w:spacing w:val="-3"/>
        <w:sz w:val="19"/>
        <w:szCs w:val="19"/>
      </w:rPr>
      <w:t>Unsere Beratungsstellen: Aarau, Brig, Schaffhausen, Thun, Uznach, Winterthur, Zürich</w:t>
    </w:r>
    <w:r w:rsidRPr="00FE2D17">
      <w:rPr>
        <w:rFonts w:cs="Arial"/>
        <w:spacing w:val="-3"/>
        <w:sz w:val="19"/>
        <w:szCs w:val="19"/>
      </w:rPr>
      <w:br/>
    </w:r>
    <w:r w:rsidRPr="00FE2D17">
      <w:rPr>
        <w:rFonts w:cs="Arial"/>
        <w:sz w:val="19"/>
        <w:szCs w:val="19"/>
      </w:rPr>
      <w:t xml:space="preserve">Postkonto: PC 80-11151-1, IBAN CH12 0900 0000 8001 1151 1, </w:t>
    </w:r>
    <w:r>
      <w:rPr>
        <w:rFonts w:cs="Arial"/>
        <w:bCs/>
        <w:sz w:val="20"/>
      </w:rPr>
      <w:t>CHE-105.837.595 MWST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70A07" w14:textId="77777777" w:rsidR="005E1ED3" w:rsidRDefault="005E1ED3">
      <w:r>
        <w:separator/>
      </w:r>
    </w:p>
    <w:p w14:paraId="6707C6D6" w14:textId="77777777" w:rsidR="003F6B09" w:rsidRDefault="003F6B09"/>
  </w:footnote>
  <w:footnote w:type="continuationSeparator" w:id="0">
    <w:p w14:paraId="51D20F8E" w14:textId="77777777" w:rsidR="005E1ED3" w:rsidRDefault="005E1ED3">
      <w:r>
        <w:continuationSeparator/>
      </w:r>
    </w:p>
    <w:p w14:paraId="12658ABD" w14:textId="77777777" w:rsidR="003F6B09" w:rsidRDefault="003F6B09"/>
  </w:footnote>
  <w:footnote w:id="1">
    <w:p w14:paraId="42A51C9F" w14:textId="77777777" w:rsidR="00716684" w:rsidRDefault="00716684" w:rsidP="00716684">
      <w:pPr>
        <w:rPr>
          <w:szCs w:val="22"/>
        </w:rPr>
      </w:pPr>
      <w:r>
        <w:rPr>
          <w:rStyle w:val="Funotenzeichen"/>
          <w:rFonts w:eastAsia="Arial"/>
          <w:sz w:val="18"/>
          <w:szCs w:val="18"/>
        </w:rPr>
        <w:footnoteRef/>
      </w:r>
      <w:r>
        <w:rPr>
          <w:rFonts w:eastAsia="Arial"/>
          <w:sz w:val="18"/>
          <w:szCs w:val="18"/>
        </w:rPr>
        <w:t xml:space="preserve"> </w:t>
      </w:r>
      <w:r>
        <w:rPr>
          <w:rStyle w:val="Hyperlink"/>
          <w:rFonts w:eastAsia="Arial"/>
          <w:sz w:val="18"/>
          <w:szCs w:val="18"/>
        </w:rPr>
        <w:t>Siehe dazu die abschliessenden Bemerkungen des BRK-Ausschusses vom 22.04.2022, UN Doc. CRPD/C/CHE/CO/1.</w:t>
      </w:r>
    </w:p>
  </w:footnote>
  <w:footnote w:id="2">
    <w:p w14:paraId="5347C9A4" w14:textId="77777777" w:rsidR="00716684" w:rsidRDefault="00716684" w:rsidP="00716684">
      <w:pPr>
        <w:pStyle w:val="Funotentext"/>
      </w:pPr>
      <w:r>
        <w:rPr>
          <w:rStyle w:val="Funotenzeichen"/>
          <w:rFonts w:eastAsia="Arial"/>
          <w:szCs w:val="18"/>
        </w:rPr>
        <w:footnoteRef/>
      </w:r>
      <w:r>
        <w:rPr>
          <w:rFonts w:eastAsia="Arial"/>
          <w:szCs w:val="18"/>
        </w:rPr>
        <w:t xml:space="preserve"> Siehe die </w:t>
      </w:r>
      <w:hyperlink r:id="rId1" w:history="1">
        <w:r>
          <w:rPr>
            <w:rStyle w:val="Hyperlink"/>
            <w:rFonts w:eastAsia="Arial"/>
            <w:szCs w:val="18"/>
          </w:rPr>
          <w:t>Zahlen des Bundesamtes für Statistik</w:t>
        </w:r>
      </w:hyperlink>
      <w:r>
        <w:rPr>
          <w:rFonts w:eastAsia="Arial"/>
          <w:szCs w:val="18"/>
        </w:rPr>
        <w:t xml:space="preserve">. </w:t>
      </w:r>
    </w:p>
  </w:footnote>
  <w:footnote w:id="3">
    <w:p w14:paraId="040F762B" w14:textId="77777777" w:rsidR="00716684" w:rsidRDefault="00716684" w:rsidP="00716684">
      <w:r>
        <w:rPr>
          <w:rStyle w:val="Funotenzeichen"/>
          <w:rFonts w:eastAsia="Arial"/>
          <w:sz w:val="18"/>
          <w:szCs w:val="18"/>
        </w:rPr>
        <w:footnoteRef/>
      </w:r>
      <w:r>
        <w:rPr>
          <w:rFonts w:eastAsia="Arial"/>
          <w:sz w:val="18"/>
          <w:szCs w:val="18"/>
        </w:rPr>
        <w:t xml:space="preserve"> Vgl. Bericht der Eidgenössischen Finanzkontrolle (EFK), Evaluation der Massnahmen im Bereich selbstbestimmtes Wohnen für Menschen mit Behinderungen vom 27.03.2025, abrufbar unter </w:t>
      </w:r>
      <w:hyperlink r:id="rId2" w:history="1">
        <w:r>
          <w:rPr>
            <w:rStyle w:val="Hyperlink"/>
            <w:rFonts w:eastAsia="Arial"/>
            <w:sz w:val="18"/>
            <w:szCs w:val="18"/>
          </w:rPr>
          <w:t>https://www.efk.admin.ch/prufung/massnahmen-im-bereich-selbstbestimmtes-wohnen-fur-menschen-mit-behinderungen/</w:t>
        </w:r>
      </w:hyperlink>
      <w:r>
        <w:rPr>
          <w:rFonts w:eastAsia="Arial"/>
          <w:sz w:val="18"/>
          <w:szCs w:val="18"/>
        </w:rPr>
        <w:t xml:space="preserve"> (04.07.2025), Das Wichtigste in Kürze. </w:t>
      </w:r>
    </w:p>
  </w:footnote>
  <w:footnote w:id="4">
    <w:p w14:paraId="225D04FA" w14:textId="77777777" w:rsidR="00BE5B1C" w:rsidRDefault="00BE5B1C" w:rsidP="00BE5B1C">
      <w:r w:rsidRPr="372B8950">
        <w:rPr>
          <w:rStyle w:val="Funotenzeichen"/>
          <w:rFonts w:eastAsia="Arial"/>
          <w:sz w:val="18"/>
          <w:szCs w:val="18"/>
        </w:rPr>
        <w:footnoteRef/>
      </w:r>
      <w:r w:rsidRPr="372B8950">
        <w:rPr>
          <w:rFonts w:eastAsia="Arial"/>
          <w:sz w:val="18"/>
          <w:szCs w:val="18"/>
        </w:rPr>
        <w:t xml:space="preserve"> Siehe zum Assistenzbeitrag auch Bericht der Eidgenössischen Finanzkontrolle (EFK), Evaluation der Massnahmen im Bereich selbstbestimmtes Wohnen für Menschen mit Behinderungen vom 27.03.2025, Kap. 2.4, S. 29 f.</w:t>
      </w:r>
    </w:p>
  </w:footnote>
  <w:footnote w:id="5">
    <w:p w14:paraId="6034FE13" w14:textId="77777777" w:rsidR="00716684" w:rsidRDefault="00716684" w:rsidP="00716684">
      <w:pPr>
        <w:pStyle w:val="Funotentext"/>
        <w:rPr>
          <w:rFonts w:eastAsia="Arial"/>
          <w:szCs w:val="18"/>
        </w:rPr>
      </w:pPr>
      <w:r>
        <w:rPr>
          <w:rStyle w:val="Funotenzeichen"/>
          <w:rFonts w:eastAsia="Arial"/>
          <w:szCs w:val="18"/>
        </w:rPr>
        <w:footnoteRef/>
      </w:r>
      <w:r>
        <w:rPr>
          <w:rFonts w:eastAsia="Arial"/>
          <w:szCs w:val="18"/>
        </w:rPr>
        <w:t xml:space="preserve"> Art. 1 Abs. 2 BRK sowie Präambel, lit. e.</w:t>
      </w:r>
    </w:p>
  </w:footnote>
  <w:footnote w:id="6">
    <w:p w14:paraId="6C04106B" w14:textId="77777777" w:rsidR="00716684" w:rsidRDefault="00716684" w:rsidP="00716684">
      <w:pPr>
        <w:pStyle w:val="Funotentext"/>
        <w:rPr>
          <w:rFonts w:eastAsia="Arial"/>
        </w:rPr>
      </w:pPr>
      <w:r>
        <w:rPr>
          <w:rStyle w:val="Funotenzeichen"/>
          <w:rFonts w:eastAsia="Arial"/>
          <w:szCs w:val="18"/>
        </w:rPr>
        <w:footnoteRef/>
      </w:r>
      <w:r>
        <w:rPr>
          <w:rFonts w:eastAsia="Arial"/>
          <w:szCs w:val="18"/>
        </w:rPr>
        <w:t xml:space="preserve"> Siehe die entsprechende Verpflichtung in Art. 4 Abs. 1 lit. a und b BRK.</w:t>
      </w:r>
    </w:p>
  </w:footnote>
  <w:footnote w:id="7">
    <w:p w14:paraId="72F6B9D3" w14:textId="77777777" w:rsidR="00716684" w:rsidRDefault="00716684" w:rsidP="00716684">
      <w:pPr>
        <w:pStyle w:val="Funotentext"/>
        <w:rPr>
          <w:rFonts w:eastAsiaTheme="minorHAnsi"/>
          <w:sz w:val="18"/>
        </w:rPr>
      </w:pPr>
      <w:r>
        <w:rPr>
          <w:rStyle w:val="Funotenzeichen"/>
          <w:rFonts w:eastAsia="Arial"/>
          <w:szCs w:val="18"/>
        </w:rPr>
        <w:footnoteRef/>
      </w:r>
      <w:r>
        <w:rPr>
          <w:rFonts w:eastAsia="Arial"/>
          <w:szCs w:val="18"/>
        </w:rPr>
        <w:t xml:space="preserve"> Vgl. Bericht der Eidgenössischen Finanzkontrolle (EFK), Evaluation der Massnahmen im Bereich selbstbestimmtes Wohnen für Menschen mit Behinderungen vom 27.03.2025, Kap. 2.1, S. 24.</w:t>
      </w:r>
    </w:p>
  </w:footnote>
  <w:footnote w:id="8">
    <w:p w14:paraId="7E43D5A6" w14:textId="77777777" w:rsidR="00716684" w:rsidRDefault="00716684" w:rsidP="00716684">
      <w:pPr>
        <w:pStyle w:val="Funotentext"/>
      </w:pPr>
      <w:r>
        <w:rPr>
          <w:rStyle w:val="Funotenzeichen"/>
          <w:rFonts w:eastAsia="Arial"/>
          <w:szCs w:val="18"/>
        </w:rPr>
        <w:footnoteRef/>
      </w:r>
      <w:r>
        <w:rPr>
          <w:rFonts w:eastAsia="Arial"/>
          <w:szCs w:val="18"/>
        </w:rPr>
        <w:t xml:space="preserve"> Art. 1-3 sowie Art. 11 [ausser Abs. 2]) VE-InG. Siehe die Kritik zu diesen allgemeinen Bestimmungen unten Ziff. </w:t>
      </w:r>
      <w:r>
        <w:fldChar w:fldCharType="begin"/>
      </w:r>
      <w:r>
        <w:instrText xml:space="preserve"> REF _Ref161567734 \r \h </w:instrText>
      </w:r>
      <w:r>
        <w:fldChar w:fldCharType="separate"/>
      </w:r>
      <w:r>
        <w:t>3.3</w:t>
      </w:r>
      <w:r>
        <w:fldChar w:fldCharType="end"/>
      </w:r>
      <w:r>
        <w:rPr>
          <w:rFonts w:eastAsia="Arial"/>
          <w:szCs w:val="18"/>
        </w:rPr>
        <w:t xml:space="preserve">, </w:t>
      </w:r>
      <w:r>
        <w:fldChar w:fldCharType="begin"/>
      </w:r>
      <w:r>
        <w:instrText xml:space="preserve"> REF _Ref202159394 \r \h </w:instrText>
      </w:r>
      <w:r>
        <w:fldChar w:fldCharType="separate"/>
      </w:r>
      <w:r>
        <w:t>3.5</w:t>
      </w:r>
      <w:r>
        <w:fldChar w:fldCharType="end"/>
      </w:r>
      <w:r>
        <w:rPr>
          <w:rFonts w:eastAsia="Arial"/>
          <w:szCs w:val="18"/>
        </w:rPr>
        <w:t xml:space="preserve"> und </w:t>
      </w:r>
      <w:r>
        <w:fldChar w:fldCharType="begin"/>
      </w:r>
      <w:r>
        <w:instrText xml:space="preserve"> REF _Ref202159410 \r \h </w:instrText>
      </w:r>
      <w:r>
        <w:fldChar w:fldCharType="separate"/>
      </w:r>
      <w:r>
        <w:t>3.6</w:t>
      </w:r>
      <w:r>
        <w:fldChar w:fldCharType="end"/>
      </w:r>
      <w:r>
        <w:rPr>
          <w:rFonts w:eastAsia="Arial"/>
          <w:szCs w:val="18"/>
        </w:rPr>
        <w:t>.</w:t>
      </w:r>
    </w:p>
  </w:footnote>
  <w:footnote w:id="9">
    <w:p w14:paraId="0B684735" w14:textId="77777777" w:rsidR="00716684" w:rsidRDefault="00716684" w:rsidP="00716684">
      <w:pPr>
        <w:pStyle w:val="Funotentext"/>
      </w:pPr>
      <w:r>
        <w:rPr>
          <w:rStyle w:val="Funotenzeichen"/>
          <w:rFonts w:eastAsia="Arial"/>
          <w:szCs w:val="18"/>
        </w:rPr>
        <w:footnoteRef/>
      </w:r>
      <w:r>
        <w:rPr>
          <w:rFonts w:eastAsia="Arial"/>
          <w:szCs w:val="18"/>
        </w:rPr>
        <w:t xml:space="preserve"> Dazu unten Ziff. </w:t>
      </w:r>
      <w:r>
        <w:fldChar w:fldCharType="begin"/>
      </w:r>
      <w:r>
        <w:instrText xml:space="preserve"> REF _Ref202159846 \r \h </w:instrText>
      </w:r>
      <w:r>
        <w:fldChar w:fldCharType="separate"/>
      </w:r>
      <w:r>
        <w:t>3.7</w:t>
      </w:r>
      <w:r>
        <w:fldChar w:fldCharType="end"/>
      </w:r>
      <w:r>
        <w:rPr>
          <w:rFonts w:eastAsia="Arial"/>
          <w:szCs w:val="18"/>
        </w:rPr>
        <w:t>.</w:t>
      </w:r>
    </w:p>
  </w:footnote>
  <w:footnote w:id="10">
    <w:p w14:paraId="3A806025" w14:textId="77777777" w:rsidR="00716684" w:rsidRDefault="00716684" w:rsidP="00716684">
      <w:pPr>
        <w:pStyle w:val="Funotentext"/>
      </w:pPr>
      <w:r>
        <w:rPr>
          <w:rStyle w:val="Funotenzeichen"/>
          <w:rFonts w:eastAsia="Arial"/>
          <w:szCs w:val="18"/>
        </w:rPr>
        <w:footnoteRef/>
      </w:r>
      <w:r>
        <w:rPr>
          <w:rFonts w:eastAsia="Arial"/>
          <w:szCs w:val="18"/>
        </w:rPr>
        <w:t xml:space="preserve"> Der Bund verfügt in zahlreichen Lebensbereichen über explizite Kompetenzen, wie etwa: Art. 65 (Statistik), Art. 61a (Bildungsraum Schweiz), Art. 63 (Berufsbildung), Art. 63a (Hochschulen), Art. 64a (Weiterbildung), Art. 66 (Ausbildungsbeiträge), Art. 68 (Sport), Art. 69 Abs. 2 (Kultur), Art. 70 (Sprachen), Art. 75 (Raumplanung), Art. 87 (ÖV), Art. 92 (Post- und Fernmeldewesen), Art. 93 (Radio- und Fernsehen), Art. 108 (Wohnbau und Wohneigentumsförderung), Art. 110 Abs. 1 lit. a (Schutz der Arbeitnehmenden), Art. 112a-c, Art. 117b (Pflege), Art. 122 (Zivilrecht) sowie Art. 124 BV (Opferhilfe).</w:t>
      </w:r>
    </w:p>
  </w:footnote>
  <w:footnote w:id="11">
    <w:p w14:paraId="69F54581" w14:textId="77777777" w:rsidR="00716684" w:rsidRDefault="00716684" w:rsidP="00716684">
      <w:pPr>
        <w:pStyle w:val="Funotentext"/>
      </w:pPr>
      <w:r>
        <w:rPr>
          <w:rStyle w:val="Funotenzeichen"/>
          <w:rFonts w:eastAsia="Arial"/>
          <w:szCs w:val="18"/>
        </w:rPr>
        <w:footnoteRef/>
      </w:r>
      <w:r>
        <w:rPr>
          <w:rFonts w:eastAsia="Arial"/>
          <w:szCs w:val="18"/>
        </w:rPr>
        <w:t xml:space="preserve"> So auch zurückhaltend angetönt in den Erläuterungen des Bundesrates, Ziff. 6.1.2.</w:t>
      </w:r>
    </w:p>
  </w:footnote>
  <w:footnote w:id="12">
    <w:p w14:paraId="01784C72" w14:textId="77777777" w:rsidR="00716684" w:rsidRDefault="00716684" w:rsidP="00716684">
      <w:pPr>
        <w:pStyle w:val="Funotentext"/>
      </w:pPr>
      <w:r>
        <w:rPr>
          <w:rStyle w:val="Funotenzeichen"/>
          <w:rFonts w:eastAsia="Arial"/>
          <w:szCs w:val="18"/>
        </w:rPr>
        <w:footnoteRef/>
      </w:r>
      <w:r>
        <w:rPr>
          <w:rFonts w:eastAsia="Arial"/>
          <w:szCs w:val="18"/>
        </w:rPr>
        <w:t xml:space="preserve"> Art. 11 und 12 VE-InG sind in dieser Hinsicht ungenügend, dazu unten Ziff. </w:t>
      </w:r>
      <w:r>
        <w:fldChar w:fldCharType="begin"/>
      </w:r>
      <w:r>
        <w:instrText xml:space="preserve"> REF _Ref202169745 \r \h </w:instrText>
      </w:r>
      <w:r>
        <w:fldChar w:fldCharType="separate"/>
      </w:r>
      <w:r>
        <w:t>3.5</w:t>
      </w:r>
      <w:r>
        <w:fldChar w:fldCharType="end"/>
      </w:r>
      <w:r>
        <w:rPr>
          <w:rFonts w:eastAsia="Arial"/>
          <w:szCs w:val="18"/>
        </w:rPr>
        <w:t xml:space="preserve"> und </w:t>
      </w:r>
      <w:r>
        <w:fldChar w:fldCharType="begin"/>
      </w:r>
      <w:r>
        <w:instrText xml:space="preserve"> REF _Ref202169752 \r \h </w:instrText>
      </w:r>
      <w:r>
        <w:fldChar w:fldCharType="separate"/>
      </w:r>
      <w:r>
        <w:t>3.6</w:t>
      </w:r>
      <w:r>
        <w:fldChar w:fldCharType="end"/>
      </w:r>
      <w:r>
        <w:rPr>
          <w:rFonts w:eastAsia="Arial"/>
          <w:szCs w:val="18"/>
        </w:rPr>
        <w:t>.</w:t>
      </w:r>
    </w:p>
  </w:footnote>
  <w:footnote w:id="13">
    <w:p w14:paraId="7F195813" w14:textId="77777777" w:rsidR="00716684" w:rsidRDefault="00716684" w:rsidP="00716684">
      <w:pPr>
        <w:pStyle w:val="Funotentext"/>
      </w:pPr>
      <w:r>
        <w:rPr>
          <w:rStyle w:val="Funotenzeichen"/>
          <w:rFonts w:eastAsia="Arial"/>
          <w:szCs w:val="18"/>
        </w:rPr>
        <w:footnoteRef/>
      </w:r>
      <w:r>
        <w:rPr>
          <w:rFonts w:eastAsia="Arial"/>
          <w:szCs w:val="18"/>
        </w:rPr>
        <w:t xml:space="preserve"> Art. 1 Abs. 2, in Verbindung mit der Präambel, lit. e BRK.</w:t>
      </w:r>
    </w:p>
  </w:footnote>
  <w:footnote w:id="14">
    <w:p w14:paraId="0A54C69F" w14:textId="77777777" w:rsidR="00716684" w:rsidRDefault="00716684" w:rsidP="00716684">
      <w:pPr>
        <w:pStyle w:val="Funotentext"/>
      </w:pPr>
      <w:r>
        <w:rPr>
          <w:rStyle w:val="Funotenzeichen"/>
          <w:rFonts w:eastAsia="Arial"/>
          <w:szCs w:val="18"/>
        </w:rPr>
        <w:footnoteRef/>
      </w:r>
      <w:r>
        <w:rPr>
          <w:rFonts w:eastAsia="Arial"/>
          <w:szCs w:val="18"/>
        </w:rPr>
        <w:t xml:space="preserve"> Siehe etwa BGE 135 I 49 E. 6.1; BGE 139 I 169 E. 7.2.4.</w:t>
      </w:r>
    </w:p>
  </w:footnote>
  <w:footnote w:id="15">
    <w:p w14:paraId="71546832" w14:textId="77777777" w:rsidR="00716684" w:rsidRDefault="00716684" w:rsidP="00716684">
      <w:pPr>
        <w:pStyle w:val="Funotentext"/>
      </w:pPr>
      <w:r>
        <w:rPr>
          <w:rStyle w:val="Funotenzeichen"/>
          <w:rFonts w:eastAsia="Arial"/>
          <w:szCs w:val="18"/>
        </w:rPr>
        <w:footnoteRef/>
      </w:r>
      <w:r>
        <w:rPr>
          <w:rFonts w:eastAsia="Arial"/>
          <w:szCs w:val="18"/>
        </w:rPr>
        <w:t xml:space="preserve"> Gemäss Art. 2 Abs. 1 E-BehiG bedeutet </w:t>
      </w:r>
      <w:r>
        <w:rPr>
          <w:rFonts w:eastAsia="Arial"/>
          <w:i/>
          <w:szCs w:val="18"/>
        </w:rPr>
        <w:t xml:space="preserve">Mensch mit Behinderungen </w:t>
      </w:r>
      <w:r>
        <w:rPr>
          <w:rFonts w:eastAsia="Arial"/>
          <w:szCs w:val="18"/>
        </w:rPr>
        <w:t>eine Person, die voraussichtlich dauernde körperliche, geistige, psychische oder sensorische Beeinträchtigungen hat, die sie in Wechselwirkung mit ihrer Umgebung an der vollen und wirksamen Teilhabe an der Gesellschaft hindern.</w:t>
      </w:r>
    </w:p>
  </w:footnote>
  <w:footnote w:id="16">
    <w:p w14:paraId="4E2E4D56" w14:textId="77777777" w:rsidR="00716684" w:rsidRDefault="00716684" w:rsidP="00716684">
      <w:pPr>
        <w:pStyle w:val="Funotentext"/>
      </w:pPr>
      <w:r>
        <w:rPr>
          <w:rStyle w:val="Funotenzeichen"/>
          <w:rFonts w:eastAsia="Arial"/>
          <w:szCs w:val="18"/>
        </w:rPr>
        <w:footnoteRef/>
      </w:r>
      <w:r>
        <w:rPr>
          <w:rFonts w:eastAsia="Arial"/>
          <w:szCs w:val="18"/>
        </w:rPr>
        <w:t xml:space="preserve"> § 3 Abs. 1 BRG BS (AG 140.500); § 3 Abs. 1 BRG BL (SGS 109); Art. 2 Abs. 1 GRIMB VS (SGS 850.6). Auch Art. 4 lit. a des </w:t>
      </w:r>
      <w:hyperlink r:id="rId3" w:history="1">
        <w:r>
          <w:rPr>
            <w:rStyle w:val="Hyperlink"/>
            <w:rFonts w:eastAsia="Arial"/>
            <w:szCs w:val="18"/>
          </w:rPr>
          <w:t>Vorprojekts</w:t>
        </w:r>
      </w:hyperlink>
      <w:r>
        <w:rPr>
          <w:rFonts w:eastAsia="Arial"/>
          <w:szCs w:val="18"/>
        </w:rPr>
        <w:t xml:space="preserve"> für ein Behindertengleichstellungsgesetz im Kanton Genf enthält eine entsprechende Definition.</w:t>
      </w:r>
    </w:p>
  </w:footnote>
  <w:footnote w:id="17">
    <w:p w14:paraId="6159A9CB" w14:textId="77777777" w:rsidR="00716684" w:rsidRDefault="00716684" w:rsidP="00716684">
      <w:pPr>
        <w:pStyle w:val="Funotentext"/>
      </w:pPr>
      <w:r>
        <w:rPr>
          <w:rStyle w:val="Funotenzeichen"/>
          <w:rFonts w:eastAsia="Arial"/>
          <w:szCs w:val="18"/>
        </w:rPr>
        <w:footnoteRef/>
      </w:r>
      <w:r>
        <w:rPr>
          <w:rFonts w:eastAsia="Arial"/>
          <w:szCs w:val="18"/>
        </w:rPr>
        <w:t xml:space="preserve"> Botschaft zur Neugestaltung des Finanzausgleichs und der Aufgaben zwischen Bund und Kantonen (NFA) vom 14. November 2001, BBl 2001 2229, 2439; Botschaft zur Ausführungsgesetzgebung zur Neugestaltung des Finanzausgleichs und der Aufgabenteilung zwischen Bund und Kantonen (NFA) vom 7. September 2005 (BBl 2005 6029, 6205).</w:t>
      </w:r>
    </w:p>
  </w:footnote>
  <w:footnote w:id="18">
    <w:p w14:paraId="47D3AA83" w14:textId="77777777" w:rsidR="00716684" w:rsidRDefault="00716684" w:rsidP="00716684">
      <w:pPr>
        <w:pStyle w:val="Funotentext"/>
      </w:pPr>
      <w:r>
        <w:rPr>
          <w:rStyle w:val="Funotenzeichen"/>
          <w:rFonts w:eastAsia="Arial"/>
          <w:szCs w:val="18"/>
        </w:rPr>
        <w:footnoteRef/>
      </w:r>
      <w:r>
        <w:rPr>
          <w:rFonts w:eastAsia="Arial"/>
          <w:szCs w:val="18"/>
        </w:rPr>
        <w:t xml:space="preserve"> </w:t>
      </w:r>
      <w:r>
        <w:rPr>
          <w:rFonts w:eastAsia="Arial"/>
          <w:smallCaps/>
          <w:szCs w:val="18"/>
        </w:rPr>
        <w:t>Giovanni Biaggini,</w:t>
      </w:r>
      <w:r>
        <w:rPr>
          <w:rFonts w:eastAsia="Arial"/>
          <w:szCs w:val="18"/>
        </w:rPr>
        <w:t xml:space="preserve"> </w:t>
      </w:r>
      <w:proofErr w:type="gramStart"/>
      <w:r>
        <w:rPr>
          <w:rFonts w:eastAsia="Arial"/>
          <w:szCs w:val="18"/>
        </w:rPr>
        <w:t>BV Kommentar</w:t>
      </w:r>
      <w:proofErr w:type="gramEnd"/>
      <w:r>
        <w:rPr>
          <w:rFonts w:eastAsia="Arial"/>
          <w:szCs w:val="18"/>
        </w:rPr>
        <w:t>, Zürich 2017, N 3 zu Art. 112b.</w:t>
      </w:r>
    </w:p>
  </w:footnote>
  <w:footnote w:id="19">
    <w:p w14:paraId="1E412E4C" w14:textId="77777777" w:rsidR="00716684" w:rsidRDefault="00716684" w:rsidP="00716684">
      <w:pPr>
        <w:pStyle w:val="Funotentext"/>
      </w:pPr>
      <w:r>
        <w:rPr>
          <w:rStyle w:val="Funotenzeichen"/>
          <w:rFonts w:eastAsia="Arial"/>
          <w:szCs w:val="18"/>
        </w:rPr>
        <w:footnoteRef/>
      </w:r>
      <w:r>
        <w:rPr>
          <w:rFonts w:eastAsia="Arial"/>
          <w:szCs w:val="18"/>
        </w:rPr>
        <w:t xml:space="preserve"> </w:t>
      </w:r>
      <w:r>
        <w:rPr>
          <w:rFonts w:eastAsia="Arial"/>
          <w:smallCaps/>
          <w:szCs w:val="18"/>
        </w:rPr>
        <w:t>Thomas Gächter/Martina Filippo</w:t>
      </w:r>
      <w:r>
        <w:rPr>
          <w:rFonts w:eastAsia="Arial"/>
          <w:szCs w:val="18"/>
        </w:rPr>
        <w:t xml:space="preserve">, in: </w:t>
      </w:r>
      <w:r>
        <w:rPr>
          <w:rFonts w:eastAsia="Arial"/>
          <w:smallCaps/>
          <w:szCs w:val="18"/>
        </w:rPr>
        <w:t>Bernhard Waldmann, Eva Maria Belser, Astrid Epiney</w:t>
      </w:r>
      <w:r>
        <w:rPr>
          <w:rFonts w:eastAsia="Arial"/>
          <w:szCs w:val="18"/>
        </w:rPr>
        <w:t>, Basler Kommentar Bundesverfassung, Basel 2015, N 9 Art. 112b.</w:t>
      </w:r>
    </w:p>
  </w:footnote>
  <w:footnote w:id="20">
    <w:p w14:paraId="4599D0C2" w14:textId="77777777" w:rsidR="00716684" w:rsidRDefault="00716684" w:rsidP="00716684">
      <w:pPr>
        <w:pStyle w:val="Funotentext"/>
        <w:rPr>
          <w:lang w:val="fr-CH"/>
        </w:rPr>
      </w:pPr>
      <w:r>
        <w:rPr>
          <w:rStyle w:val="Funotenzeichen"/>
          <w:rFonts w:eastAsia="Arial"/>
          <w:szCs w:val="18"/>
        </w:rPr>
        <w:footnoteRef/>
      </w:r>
      <w:r>
        <w:rPr>
          <w:rFonts w:eastAsia="Arial"/>
          <w:szCs w:val="18"/>
          <w:lang w:val="fr-CH"/>
        </w:rPr>
        <w:t xml:space="preserve"> </w:t>
      </w:r>
      <w:r>
        <w:rPr>
          <w:rFonts w:eastAsia="Arial"/>
          <w:smallCaps/>
          <w:szCs w:val="18"/>
          <w:lang w:val="fr-CH"/>
        </w:rPr>
        <w:t>Anne- Sylvie Dupont</w:t>
      </w:r>
      <w:r>
        <w:rPr>
          <w:rFonts w:eastAsia="Arial"/>
          <w:szCs w:val="18"/>
          <w:lang w:val="fr-CH"/>
        </w:rPr>
        <w:t xml:space="preserve">, </w:t>
      </w:r>
      <w:proofErr w:type="gramStart"/>
      <w:r>
        <w:rPr>
          <w:rFonts w:eastAsia="Arial"/>
          <w:szCs w:val="18"/>
          <w:lang w:val="fr-CH"/>
        </w:rPr>
        <w:t>in:</w:t>
      </w:r>
      <w:proofErr w:type="gramEnd"/>
      <w:r>
        <w:rPr>
          <w:rFonts w:eastAsia="Arial"/>
          <w:szCs w:val="18"/>
          <w:lang w:val="fr-CH"/>
        </w:rPr>
        <w:t xml:space="preserve"> </w:t>
      </w:r>
      <w:r>
        <w:rPr>
          <w:rFonts w:eastAsia="Arial"/>
          <w:smallCaps/>
          <w:szCs w:val="18"/>
          <w:lang w:val="fr-CH"/>
        </w:rPr>
        <w:t xml:space="preserve">Vincent Martenet, Jacques Dubey, </w:t>
      </w:r>
      <w:r>
        <w:rPr>
          <w:rFonts w:eastAsia="Arial"/>
          <w:szCs w:val="18"/>
          <w:lang w:val="fr-CH"/>
        </w:rPr>
        <w:t>Commentaire romand Constitution fédérale, Basel 2021, N 11 zu Art. 112b.</w:t>
      </w:r>
    </w:p>
  </w:footnote>
  <w:footnote w:id="21">
    <w:p w14:paraId="38EA7054" w14:textId="77777777" w:rsidR="00716684" w:rsidRDefault="00716684" w:rsidP="00716684">
      <w:pPr>
        <w:pStyle w:val="Funotentext"/>
      </w:pPr>
      <w:r>
        <w:rPr>
          <w:rStyle w:val="Funotenzeichen"/>
          <w:rFonts w:eastAsia="Arial"/>
          <w:szCs w:val="18"/>
        </w:rPr>
        <w:footnoteRef/>
      </w:r>
      <w:r>
        <w:rPr>
          <w:rFonts w:eastAsia="Arial"/>
          <w:szCs w:val="18"/>
        </w:rPr>
        <w:t xml:space="preserve"> </w:t>
      </w:r>
      <w:r>
        <w:rPr>
          <w:rFonts w:eastAsia="Arial"/>
          <w:smallCaps/>
          <w:szCs w:val="18"/>
        </w:rPr>
        <w:t>Hardy</w:t>
      </w:r>
      <w:r>
        <w:rPr>
          <w:rFonts w:eastAsia="Arial"/>
          <w:szCs w:val="18"/>
        </w:rPr>
        <w:t xml:space="preserve"> </w:t>
      </w:r>
      <w:r>
        <w:rPr>
          <w:rFonts w:eastAsia="Arial"/>
          <w:smallCaps/>
          <w:szCs w:val="18"/>
        </w:rPr>
        <w:t>Landolt</w:t>
      </w:r>
      <w:r>
        <w:rPr>
          <w:rFonts w:eastAsia="Arial"/>
          <w:szCs w:val="18"/>
        </w:rPr>
        <w:t xml:space="preserve">, in: </w:t>
      </w:r>
      <w:r>
        <w:rPr>
          <w:rFonts w:eastAsia="Arial"/>
          <w:smallCaps/>
          <w:szCs w:val="18"/>
        </w:rPr>
        <w:t>Bernhard Ehrenzeller</w:t>
      </w:r>
      <w:r>
        <w:rPr>
          <w:rFonts w:eastAsia="Arial"/>
          <w:szCs w:val="18"/>
        </w:rPr>
        <w:t xml:space="preserve"> et al., Die schweizerische Bundesverfassung, St. Galler Kommentar, Zürich/St. Gallen 2023, N 10 zu Art. 112b. </w:t>
      </w:r>
    </w:p>
  </w:footnote>
  <w:footnote w:id="22">
    <w:p w14:paraId="14E415CB" w14:textId="77777777" w:rsidR="00716684" w:rsidRDefault="00716684" w:rsidP="00716684">
      <w:pPr>
        <w:pStyle w:val="Funotentext"/>
      </w:pPr>
      <w:r>
        <w:rPr>
          <w:rStyle w:val="Funotenzeichen"/>
          <w:rFonts w:eastAsia="Arial"/>
          <w:szCs w:val="18"/>
        </w:rPr>
        <w:footnoteRef/>
      </w:r>
      <w:r>
        <w:rPr>
          <w:rFonts w:eastAsia="Arial"/>
          <w:szCs w:val="18"/>
        </w:rPr>
        <w:t xml:space="preserve"> Siehe oben Fn. </w:t>
      </w:r>
      <w:r>
        <w:fldChar w:fldCharType="begin"/>
      </w:r>
      <w:r>
        <w:instrText xml:space="preserve"> NOTEREF _Ref202498037 \h </w:instrText>
      </w:r>
      <w:r>
        <w:fldChar w:fldCharType="separate"/>
      </w:r>
      <w:r>
        <w:t>2</w:t>
      </w:r>
      <w:r>
        <w:fldChar w:fldCharType="end"/>
      </w:r>
      <w:r>
        <w:rPr>
          <w:rFonts w:eastAsia="Arial"/>
          <w:szCs w:val="18"/>
        </w:rPr>
        <w:t>.</w:t>
      </w:r>
    </w:p>
  </w:footnote>
  <w:footnote w:id="23">
    <w:p w14:paraId="0D24C6F8" w14:textId="77777777" w:rsidR="00716684" w:rsidRDefault="00716684" w:rsidP="00716684">
      <w:pPr>
        <w:pStyle w:val="Funotentext"/>
      </w:pPr>
      <w:r>
        <w:rPr>
          <w:rStyle w:val="Funotenzeichen"/>
          <w:rFonts w:eastAsia="Arial"/>
          <w:szCs w:val="18"/>
        </w:rPr>
        <w:footnoteRef/>
      </w:r>
      <w:r>
        <w:rPr>
          <w:rFonts w:eastAsia="Arial"/>
          <w:szCs w:val="18"/>
        </w:rPr>
        <w:t xml:space="preserve"> Siehe dazu die </w:t>
      </w:r>
      <w:hyperlink r:id="rId4" w:history="1">
        <w:r>
          <w:rPr>
            <w:rStyle w:val="Hyperlink"/>
            <w:rFonts w:eastAsia="Arial"/>
            <w:szCs w:val="18"/>
          </w:rPr>
          <w:t>Statistik der IV</w:t>
        </w:r>
      </w:hyperlink>
      <w:r>
        <w:rPr>
          <w:rFonts w:eastAsia="Arial"/>
          <w:szCs w:val="18"/>
        </w:rPr>
        <w:t>. Demnach erhielten im Dezember 2024 254'236 Personen eine Invalidenrente der IV, 215'785 Personen erhielten Eingliederungsmassnahmen und 39'052 eine Hilflosenentschädigung. Zum Unterschied zwischen Menschen mit Behinderungen und «invaliden» Personen, siehe auch den Bericht der Eidgenössischen Finanzkontrolle (EFK), Evaluation der Massnahmen im Bereich selbstbestimmtes Wohnen für Menschen mit Behinderungen vom 27.03.2025, S. 16.</w:t>
      </w:r>
    </w:p>
  </w:footnote>
  <w:footnote w:id="24">
    <w:p w14:paraId="7D05BE11" w14:textId="77777777" w:rsidR="00A679BD" w:rsidRDefault="00A679BD" w:rsidP="00A679BD">
      <w:pPr>
        <w:pStyle w:val="Funotentext"/>
      </w:pPr>
      <w:r w:rsidRPr="372B8950">
        <w:rPr>
          <w:rStyle w:val="Funotenzeichen"/>
          <w:rFonts w:eastAsia="Arial"/>
          <w:szCs w:val="18"/>
        </w:rPr>
        <w:footnoteRef/>
      </w:r>
      <w:r w:rsidRPr="372B8950">
        <w:rPr>
          <w:rFonts w:eastAsia="Arial"/>
          <w:szCs w:val="18"/>
        </w:rPr>
        <w:t xml:space="preserve"> Dies gilt für bereichspezifische Bestimmungen des Gesetzes, welche Lösungen auf Lebenslagen schaffen wollen, welche nicht alle Menschen mit Behinderungen teilen.</w:t>
      </w:r>
    </w:p>
  </w:footnote>
  <w:footnote w:id="25">
    <w:p w14:paraId="15E1C8CA" w14:textId="77777777" w:rsidR="00716684" w:rsidRDefault="00716684" w:rsidP="00716684">
      <w:pPr>
        <w:pStyle w:val="Funotentext"/>
      </w:pPr>
      <w:r>
        <w:rPr>
          <w:rStyle w:val="Funotenzeichen"/>
          <w:rFonts w:eastAsia="Arial"/>
          <w:szCs w:val="18"/>
        </w:rPr>
        <w:footnoteRef/>
      </w:r>
      <w:r>
        <w:rPr>
          <w:rFonts w:eastAsia="Arial"/>
          <w:szCs w:val="18"/>
        </w:rPr>
        <w:t xml:space="preserve"> Dazu unten Ziff. </w:t>
      </w:r>
      <w:r>
        <w:fldChar w:fldCharType="begin"/>
      </w:r>
      <w:r>
        <w:instrText xml:space="preserve"> REF _Ref202175115 \r \h </w:instrText>
      </w:r>
      <w:r>
        <w:fldChar w:fldCharType="separate"/>
      </w:r>
      <w:r>
        <w:t>3.4</w:t>
      </w:r>
      <w:r>
        <w:fldChar w:fldCharType="end"/>
      </w:r>
      <w:r>
        <w:rPr>
          <w:rFonts w:eastAsia="Arial"/>
          <w:szCs w:val="18"/>
        </w:rPr>
        <w:t>.</w:t>
      </w:r>
    </w:p>
  </w:footnote>
  <w:footnote w:id="26">
    <w:p w14:paraId="11E0B6F7" w14:textId="77777777" w:rsidR="00716684" w:rsidRDefault="00716684" w:rsidP="00716684">
      <w:pPr>
        <w:pStyle w:val="Funotentext"/>
      </w:pPr>
      <w:r>
        <w:rPr>
          <w:rStyle w:val="Funotenzeichen"/>
          <w:rFonts w:eastAsia="Arial"/>
          <w:szCs w:val="18"/>
        </w:rPr>
        <w:footnoteRef/>
      </w:r>
      <w:r>
        <w:rPr>
          <w:rFonts w:eastAsia="Arial"/>
          <w:szCs w:val="18"/>
        </w:rPr>
        <w:t xml:space="preserve"> Mehr zu dieser Bestimmung unten unter Ziff. </w:t>
      </w:r>
      <w:r>
        <w:fldChar w:fldCharType="begin"/>
      </w:r>
      <w:r>
        <w:instrText xml:space="preserve"> REF _Ref202499130 \r \h </w:instrText>
      </w:r>
      <w:r>
        <w:fldChar w:fldCharType="separate"/>
      </w:r>
      <w:r>
        <w:t>3.7</w:t>
      </w:r>
      <w:r>
        <w:fldChar w:fldCharType="end"/>
      </w:r>
      <w:r>
        <w:rPr>
          <w:rFonts w:eastAsia="Arial"/>
          <w:szCs w:val="18"/>
        </w:rPr>
        <w:t>.</w:t>
      </w:r>
    </w:p>
  </w:footnote>
  <w:footnote w:id="27">
    <w:p w14:paraId="74D7E371" w14:textId="77777777" w:rsidR="00716684" w:rsidRDefault="00716684" w:rsidP="00716684">
      <w:pPr>
        <w:pStyle w:val="Funotentext"/>
      </w:pPr>
      <w:r>
        <w:rPr>
          <w:rStyle w:val="Funotenzeichen"/>
        </w:rPr>
        <w:footnoteRef/>
      </w:r>
      <w:r>
        <w:t xml:space="preserve"> Dazu unten Ziff. </w:t>
      </w:r>
      <w:r>
        <w:fldChar w:fldCharType="begin"/>
      </w:r>
      <w:r>
        <w:instrText xml:space="preserve"> REF _Ref202519288 \r \h </w:instrText>
      </w:r>
      <w:r>
        <w:fldChar w:fldCharType="separate"/>
      </w:r>
      <w:r>
        <w:t>3.5</w:t>
      </w:r>
      <w:r>
        <w:fldChar w:fldCharType="end"/>
      </w:r>
      <w:r>
        <w:t>.</w:t>
      </w:r>
    </w:p>
  </w:footnote>
  <w:footnote w:id="28">
    <w:p w14:paraId="193D4B5B" w14:textId="77777777" w:rsidR="00716684" w:rsidRDefault="00716684" w:rsidP="00716684">
      <w:pPr>
        <w:pStyle w:val="Funotentext"/>
        <w:rPr>
          <w:highlight w:val="yellow"/>
        </w:rPr>
      </w:pPr>
      <w:r>
        <w:rPr>
          <w:rStyle w:val="Funotenzeichen"/>
          <w:rFonts w:eastAsia="Arial"/>
          <w:szCs w:val="18"/>
        </w:rPr>
        <w:footnoteRef/>
      </w:r>
      <w:r>
        <w:rPr>
          <w:rFonts w:eastAsia="Arial"/>
          <w:szCs w:val="18"/>
        </w:rPr>
        <w:t xml:space="preserve"> Die aktuell laufende Teilrevision des BehiG will zudem neu auch Rechtsansprüche im Bereich der Arbeit verankern (siehe Art. 8a E-BehiG) sowie die Rechstansprüche mit Bezug auf Dienstleistungen Privater ausweiten (siehe Art. 8 Abs. 3 und 4 E-BehiG). </w:t>
      </w:r>
    </w:p>
  </w:footnote>
  <w:footnote w:id="29">
    <w:p w14:paraId="5F80ABB6" w14:textId="77777777" w:rsidR="00716684" w:rsidRDefault="00716684" w:rsidP="00716684">
      <w:pPr>
        <w:pStyle w:val="Funotentext"/>
      </w:pPr>
      <w:r>
        <w:rPr>
          <w:rStyle w:val="Funotenzeichen"/>
          <w:rFonts w:eastAsia="Arial"/>
          <w:szCs w:val="18"/>
        </w:rPr>
        <w:footnoteRef/>
      </w:r>
      <w:r>
        <w:rPr>
          <w:rFonts w:eastAsia="Arial"/>
          <w:szCs w:val="18"/>
        </w:rPr>
        <w:t xml:space="preserve"> Siehe dazu auch die Botschaft zur Volksinitiative «Gleiche Rechte für Behinderte»und zum Entwurf eines Bundesgesetzes über die Beseitigung von Benachteiligungen behinderter Menschen vom 11. Dezember 2000, wonach das Beschwerderecht der Behindertenorganisationen es erlaubt, die Verfahren auf die zentralen Fragen zu konzentrieren (BBl 2000, 1808 f.).</w:t>
      </w:r>
    </w:p>
  </w:footnote>
  <w:footnote w:id="30">
    <w:p w14:paraId="66485429" w14:textId="77777777" w:rsidR="00716684" w:rsidRDefault="00716684" w:rsidP="00716684">
      <w:pPr>
        <w:pStyle w:val="Funotentext"/>
        <w:rPr>
          <w:highlight w:val="yellow"/>
        </w:rPr>
      </w:pPr>
      <w:r>
        <w:rPr>
          <w:rStyle w:val="Funotenzeichen"/>
          <w:rFonts w:eastAsia="Arial"/>
          <w:szCs w:val="18"/>
        </w:rPr>
        <w:footnoteRef/>
      </w:r>
      <w:r>
        <w:rPr>
          <w:rFonts w:eastAsia="Arial"/>
          <w:szCs w:val="18"/>
        </w:rPr>
        <w:t xml:space="preserve"> Abschliessenden Bemerkungen des BRK-Ausschusses vom 22.04.2022, UN Doc. CRPD/C/CHE/CO/1, Ziff. 11 f.</w:t>
      </w:r>
    </w:p>
  </w:footnote>
  <w:footnote w:id="31">
    <w:p w14:paraId="7FD18A13" w14:textId="77777777" w:rsidR="00716684" w:rsidRDefault="00716684" w:rsidP="00716684">
      <w:pPr>
        <w:pStyle w:val="Funotentext"/>
      </w:pPr>
      <w:r>
        <w:rPr>
          <w:rStyle w:val="Funotenzeichen"/>
          <w:rFonts w:eastAsia="Arial"/>
          <w:szCs w:val="18"/>
        </w:rPr>
        <w:footnoteRef/>
      </w:r>
      <w:r>
        <w:rPr>
          <w:rFonts w:eastAsia="Arial"/>
          <w:szCs w:val="18"/>
        </w:rPr>
        <w:t xml:space="preserve"> § 8 ff. BRG BS (AG 140.500); § 8 ff. BRG BL (SGS 109); Art. 35a ff. GRIMB VS (SGS 850.6). Auch Art. 21 ff. des </w:t>
      </w:r>
      <w:hyperlink r:id="rId5" w:history="1">
        <w:r>
          <w:rPr>
            <w:rStyle w:val="Hyperlink"/>
            <w:rFonts w:eastAsia="Arial"/>
            <w:szCs w:val="18"/>
          </w:rPr>
          <w:t>Vorprojekts</w:t>
        </w:r>
      </w:hyperlink>
      <w:r>
        <w:rPr>
          <w:rFonts w:eastAsia="Arial"/>
          <w:szCs w:val="18"/>
        </w:rPr>
        <w:t xml:space="preserve"> für ein Behindertengleichstellungsgesetz im Kanton Genf sieht solche Rechtsansprüche vor.</w:t>
      </w:r>
    </w:p>
  </w:footnote>
  <w:footnote w:id="32">
    <w:p w14:paraId="24AAEB4C" w14:textId="77777777" w:rsidR="00716684" w:rsidRDefault="00716684" w:rsidP="00716684">
      <w:pPr>
        <w:pStyle w:val="Funotentext"/>
      </w:pPr>
      <w:r>
        <w:rPr>
          <w:rStyle w:val="Funotenzeichen"/>
          <w:rFonts w:eastAsia="Arial"/>
          <w:szCs w:val="18"/>
        </w:rPr>
        <w:footnoteRef/>
      </w:r>
      <w:r>
        <w:rPr>
          <w:rFonts w:eastAsia="Arial"/>
          <w:szCs w:val="18"/>
        </w:rPr>
        <w:t xml:space="preserve"> Abschliessenden Bemerkungen des BRK-Ausschusses vom 22.04.2022, UN Doc. CRPD/C/CHE/CO/1.</w:t>
      </w:r>
    </w:p>
  </w:footnote>
  <w:footnote w:id="33">
    <w:p w14:paraId="4C1187C5" w14:textId="77777777" w:rsidR="00716684" w:rsidRDefault="00716684" w:rsidP="00716684">
      <w:pPr>
        <w:pStyle w:val="Funotentext"/>
        <w:rPr>
          <w:lang w:val="de-DE"/>
        </w:rPr>
      </w:pPr>
      <w:r>
        <w:rPr>
          <w:rStyle w:val="Funotenzeichen"/>
          <w:rFonts w:eastAsia="Arial"/>
          <w:szCs w:val="18"/>
        </w:rPr>
        <w:footnoteRef/>
      </w:r>
      <w:r>
        <w:rPr>
          <w:rFonts w:eastAsia="Arial"/>
          <w:szCs w:val="18"/>
        </w:rPr>
        <w:t xml:space="preserve"> </w:t>
      </w:r>
      <w:r>
        <w:rPr>
          <w:rFonts w:eastAsia="Arial"/>
          <w:szCs w:val="18"/>
          <w:lang w:val="de-DE"/>
        </w:rPr>
        <w:t>Dies sind insbesondere die wirtschaftlichen, sozialen und kulturellen Rechte im Sinne von Art. 4 Abs. 2 BRK.</w:t>
      </w:r>
    </w:p>
  </w:footnote>
  <w:footnote w:id="34">
    <w:p w14:paraId="57925D24" w14:textId="77777777" w:rsidR="00716684" w:rsidRDefault="00716684" w:rsidP="00716684">
      <w:pPr>
        <w:pStyle w:val="Funotentext"/>
        <w:rPr>
          <w:lang w:val="de-DE"/>
        </w:rPr>
      </w:pPr>
      <w:r>
        <w:rPr>
          <w:rStyle w:val="Funotenzeichen"/>
          <w:rFonts w:eastAsia="Arial"/>
          <w:szCs w:val="18"/>
        </w:rPr>
        <w:footnoteRef/>
      </w:r>
      <w:r>
        <w:rPr>
          <w:rFonts w:eastAsia="Arial"/>
          <w:szCs w:val="18"/>
        </w:rPr>
        <w:t xml:space="preserve"> </w:t>
      </w:r>
      <w:r>
        <w:rPr>
          <w:rFonts w:eastAsia="Arial"/>
          <w:szCs w:val="18"/>
          <w:lang w:val="de-DE"/>
        </w:rPr>
        <w:t>Nicht nachvollziehbar ist zudem, weshalb Art. 12 Abs. 3 VE-InG anders als Art. 11 Abs. 3 VE-InG nur den Einbezug der Behindertenorganisationen, nicht aber den direkten Einbezug von Menschen mit Behinderungen vorsieht.</w:t>
      </w:r>
    </w:p>
  </w:footnote>
  <w:footnote w:id="35">
    <w:p w14:paraId="250C2059" w14:textId="77777777" w:rsidR="00716684" w:rsidRDefault="00716684" w:rsidP="00716684">
      <w:pPr>
        <w:pStyle w:val="Funotentext"/>
      </w:pPr>
      <w:r>
        <w:rPr>
          <w:rStyle w:val="Funotenzeichen"/>
          <w:rFonts w:eastAsia="Arial"/>
          <w:szCs w:val="18"/>
        </w:rPr>
        <w:footnoteRef/>
      </w:r>
      <w:r>
        <w:rPr>
          <w:rFonts w:eastAsia="Arial"/>
          <w:szCs w:val="18"/>
        </w:rPr>
        <w:t xml:space="preserve"> Oben Ziff. </w:t>
      </w:r>
      <w:r>
        <w:fldChar w:fldCharType="begin"/>
      </w:r>
      <w:r>
        <w:instrText xml:space="preserve"> REF _Ref202271927 \r \h </w:instrText>
      </w:r>
      <w:r>
        <w:fldChar w:fldCharType="separate"/>
      </w:r>
      <w:r>
        <w:t>3.2</w:t>
      </w:r>
      <w:r>
        <w:fldChar w:fldCharType="end"/>
      </w:r>
      <w:r>
        <w:rPr>
          <w:rFonts w:eastAsia="Arial"/>
          <w:szCs w:val="18"/>
        </w:rPr>
        <w:t>.</w:t>
      </w:r>
    </w:p>
  </w:footnote>
  <w:footnote w:id="36">
    <w:p w14:paraId="5D41A9E2" w14:textId="77777777" w:rsidR="00716684" w:rsidRDefault="00716684" w:rsidP="00716684">
      <w:pPr>
        <w:pStyle w:val="Funotentext"/>
      </w:pPr>
      <w:r>
        <w:rPr>
          <w:rStyle w:val="Funotenzeichen"/>
          <w:rFonts w:eastAsia="Arial"/>
          <w:szCs w:val="18"/>
        </w:rPr>
        <w:footnoteRef/>
      </w:r>
      <w:r>
        <w:rPr>
          <w:rFonts w:eastAsia="Arial"/>
          <w:szCs w:val="18"/>
        </w:rPr>
        <w:t xml:space="preserve"> Auch der Verweis in Art. 11 Abs. 1 VE-InG auf die «Ziele dieses Gesetzes» führt aufgrund der vagen und unpräzisen Zielbestimmungen (dazu oben Ziff. </w:t>
      </w:r>
      <w:r>
        <w:fldChar w:fldCharType="begin"/>
      </w:r>
      <w:r>
        <w:instrText xml:space="preserve"> REF _Ref161567734 \r \h </w:instrText>
      </w:r>
      <w:r>
        <w:fldChar w:fldCharType="separate"/>
      </w:r>
      <w:r>
        <w:t>3.3</w:t>
      </w:r>
      <w:r>
        <w:fldChar w:fldCharType="end"/>
      </w:r>
      <w:r>
        <w:rPr>
          <w:rFonts w:eastAsia="Arial"/>
          <w:szCs w:val="18"/>
        </w:rPr>
        <w:t xml:space="preserve">) des Vorentwurfs in die Leere. </w:t>
      </w:r>
    </w:p>
  </w:footnote>
  <w:footnote w:id="37">
    <w:p w14:paraId="3B1F1BBE" w14:textId="77777777" w:rsidR="00716684" w:rsidRDefault="00716684" w:rsidP="00716684">
      <w:pPr>
        <w:pStyle w:val="Funotentext"/>
        <w:rPr>
          <w:highlight w:val="green"/>
        </w:rPr>
      </w:pPr>
      <w:r>
        <w:rPr>
          <w:rStyle w:val="Funotenzeichen"/>
          <w:rFonts w:eastAsia="Arial"/>
          <w:szCs w:val="18"/>
        </w:rPr>
        <w:footnoteRef/>
      </w:r>
      <w:r>
        <w:rPr>
          <w:rFonts w:eastAsia="Arial"/>
          <w:szCs w:val="18"/>
        </w:rPr>
        <w:t xml:space="preserve"> Bericht der Eidgenössischen Finanzkontrolle (EFK), Evaluation der Massnahmen im Bereich selbstbestimmtes Wohnen für Menschen mit Behinderungen vom 27.03.2025, </w:t>
      </w:r>
      <w:bookmarkStart w:id="60" w:name="_Hlk202522626"/>
      <w:r>
        <w:rPr>
          <w:rFonts w:eastAsia="Arial"/>
          <w:szCs w:val="18"/>
        </w:rPr>
        <w:t xml:space="preserve">abrufbar unter </w:t>
      </w:r>
      <w:hyperlink r:id="rId6" w:history="1">
        <w:r>
          <w:rPr>
            <w:rStyle w:val="Hyperlink"/>
            <w:rFonts w:eastAsia="Arial"/>
            <w:szCs w:val="18"/>
          </w:rPr>
          <w:t>https://www.efk.admin.ch/prufung/massnahmen-im-bereich-selbstbestimmtes-wohnen-fur-menschen-mit-behinderungen/</w:t>
        </w:r>
      </w:hyperlink>
      <w:r>
        <w:rPr>
          <w:rFonts w:eastAsia="Arial"/>
          <w:szCs w:val="18"/>
        </w:rPr>
        <w:t xml:space="preserve"> (04.07.2025)</w:t>
      </w:r>
      <w:bookmarkEnd w:id="60"/>
      <w:r>
        <w:rPr>
          <w:rFonts w:eastAsia="Arial"/>
          <w:szCs w:val="18"/>
        </w:rPr>
        <w:t>.</w:t>
      </w:r>
    </w:p>
  </w:footnote>
  <w:footnote w:id="38">
    <w:p w14:paraId="33781D4B" w14:textId="77777777" w:rsidR="00716684" w:rsidRDefault="00716684" w:rsidP="00716684">
      <w:pPr>
        <w:pStyle w:val="Funotentext"/>
      </w:pPr>
      <w:r>
        <w:rPr>
          <w:rStyle w:val="Funotenzeichen"/>
        </w:rPr>
        <w:footnoteRef/>
      </w:r>
      <w:r>
        <w:rPr>
          <w:rFonts w:eastAsia="Arial"/>
          <w:szCs w:val="18"/>
        </w:rPr>
        <w:t xml:space="preserve"> Bericht der Eidgenössischen Finanzkontrolle (EFK), Evaluation der Massnahmen im Bereich selbstbestimmtes Wohnen für Menschen mit Behinderungen vom 27.03.2025, Kap. 2.1, S. 20 ff. </w:t>
      </w:r>
    </w:p>
  </w:footnote>
  <w:footnote w:id="39">
    <w:p w14:paraId="220894D9" w14:textId="77777777" w:rsidR="00716684" w:rsidRDefault="00716684" w:rsidP="00716684">
      <w:pPr>
        <w:pStyle w:val="Funotentext"/>
      </w:pPr>
      <w:r>
        <w:rPr>
          <w:rStyle w:val="Funotenzeichen"/>
          <w:rFonts w:eastAsia="Arial"/>
          <w:szCs w:val="18"/>
        </w:rPr>
        <w:footnoteRef/>
      </w:r>
      <w:r>
        <w:rPr>
          <w:rStyle w:val="Funotenzeichen"/>
          <w:rFonts w:eastAsia="Arial"/>
          <w:szCs w:val="18"/>
        </w:rPr>
        <w:t xml:space="preserve"> </w:t>
      </w:r>
      <w:r>
        <w:rPr>
          <w:rFonts w:eastAsia="Arial"/>
          <w:szCs w:val="18"/>
        </w:rPr>
        <w:t xml:space="preserve">Bericht der Eidgenössischen Finanzkontrolle (EFK), Evaluation der Massnahmen im Bereich selbstbestimmtes Wohnen für Menschen mit Behinderungen vom 27.03.2025, Kap. 2.2, S. 25 ff. </w:t>
      </w:r>
    </w:p>
  </w:footnote>
  <w:footnote w:id="40">
    <w:p w14:paraId="3E431110" w14:textId="77777777" w:rsidR="00716684" w:rsidRDefault="00716684" w:rsidP="00716684">
      <w:pPr>
        <w:pStyle w:val="Funotentext"/>
      </w:pPr>
      <w:r>
        <w:rPr>
          <w:rStyle w:val="Funotenzeichen"/>
          <w:rFonts w:eastAsia="Arial"/>
          <w:szCs w:val="18"/>
        </w:rPr>
        <w:footnoteRef/>
      </w:r>
      <w:r>
        <w:rPr>
          <w:rFonts w:eastAsia="Arial"/>
          <w:szCs w:val="18"/>
        </w:rPr>
        <w:t xml:space="preserve"> Bericht der Eidgenössischen Finanzkontrolle (EFK), Evaluation der Massnahmen im Bereich selbstbestimmtes Wohnen für Menschen mit Behinderungen vom 27.03.2025, Kap. 2.1, S. 23 ff.</w:t>
      </w:r>
    </w:p>
  </w:footnote>
  <w:footnote w:id="41">
    <w:p w14:paraId="2DF2708D" w14:textId="77777777" w:rsidR="00716684" w:rsidRDefault="00716684" w:rsidP="00716684">
      <w:pPr>
        <w:pStyle w:val="Funotentext"/>
      </w:pPr>
      <w:r>
        <w:rPr>
          <w:rStyle w:val="Funotenzeichen"/>
          <w:rFonts w:eastAsia="Arial"/>
          <w:szCs w:val="18"/>
        </w:rPr>
        <w:footnoteRef/>
      </w:r>
      <w:r>
        <w:rPr>
          <w:rFonts w:eastAsia="Arial"/>
          <w:szCs w:val="18"/>
        </w:rPr>
        <w:t xml:space="preserve"> Bericht der Eidgenössischen Finanzkontrolle (EFK), Evaluation der Massnahmen im Bereich selbstbestimmtes Wohnen für Menschen mit Behinderungen vom 27.03.2025, S. 4, 23 f. und 29 ff.</w:t>
      </w:r>
    </w:p>
  </w:footnote>
  <w:footnote w:id="42">
    <w:p w14:paraId="48D48D9D" w14:textId="77777777" w:rsidR="00716684" w:rsidRDefault="00716684" w:rsidP="00716684">
      <w:pPr>
        <w:pStyle w:val="Funotentext"/>
      </w:pPr>
      <w:r>
        <w:rPr>
          <w:rStyle w:val="Funotenzeichen"/>
          <w:rFonts w:eastAsia="Arial"/>
          <w:szCs w:val="18"/>
        </w:rPr>
        <w:footnoteRef/>
      </w:r>
      <w:r>
        <w:rPr>
          <w:rFonts w:eastAsia="Arial"/>
          <w:szCs w:val="18"/>
        </w:rPr>
        <w:t xml:space="preserve"> Bericht der Eidgenössischen Finanzkontrolle (EFK), Evaluation der Massnahmen im Bereich selbstbestimmtes Wohnen für Menschen mit Behinderungen vom 27.03.2025, S. 6.</w:t>
      </w:r>
    </w:p>
  </w:footnote>
  <w:footnote w:id="43">
    <w:p w14:paraId="1D49A950" w14:textId="77777777" w:rsidR="00716684" w:rsidRDefault="00716684" w:rsidP="00716684">
      <w:pPr>
        <w:pStyle w:val="Funotentext"/>
      </w:pPr>
      <w:r>
        <w:rPr>
          <w:rStyle w:val="Funotenzeichen"/>
          <w:rFonts w:eastAsia="Arial"/>
          <w:szCs w:val="18"/>
        </w:rPr>
        <w:footnoteRef/>
      </w:r>
      <w:r>
        <w:rPr>
          <w:rFonts w:eastAsia="Arial"/>
          <w:szCs w:val="18"/>
        </w:rPr>
        <w:t xml:space="preserve"> Leistungen nach IVG, u.a. Assistenzbeitrag und Leistungen nach Art. 74 sowie Hilfslosenentschädigung.</w:t>
      </w:r>
    </w:p>
  </w:footnote>
  <w:footnote w:id="44">
    <w:p w14:paraId="2DF11D68" w14:textId="77777777" w:rsidR="00716684" w:rsidRDefault="00716684" w:rsidP="00716684">
      <w:pPr>
        <w:pStyle w:val="Funotentext"/>
        <w:rPr>
          <w:rFonts w:eastAsia="Arial"/>
        </w:rPr>
      </w:pPr>
      <w:r>
        <w:rPr>
          <w:rStyle w:val="Funotenzeichen"/>
          <w:rFonts w:eastAsia="Arial"/>
          <w:szCs w:val="18"/>
        </w:rPr>
        <w:footnoteRef/>
      </w:r>
      <w:r>
        <w:t xml:space="preserve"> Vgl. </w:t>
      </w:r>
      <w:r>
        <w:rPr>
          <w:rFonts w:eastAsia="Arial"/>
        </w:rPr>
        <w:t>Bericht der Eidgenössischen Finanzkontrolle (EFK), Evaluation der Massnahmen im Bereich selbstbestimmtes Wohnen für Menschen mit Behinderungen vom 27.03.2025, S. 29 f. und 36.</w:t>
      </w:r>
    </w:p>
  </w:footnote>
  <w:footnote w:id="45">
    <w:p w14:paraId="1601F33A" w14:textId="77777777" w:rsidR="00716684" w:rsidRDefault="00716684" w:rsidP="00716684">
      <w:pPr>
        <w:pStyle w:val="Funotentext"/>
        <w:rPr>
          <w:rFonts w:eastAsiaTheme="minorHAnsi"/>
        </w:rPr>
      </w:pPr>
      <w:r>
        <w:rPr>
          <w:rStyle w:val="Funotenzeichen"/>
        </w:rPr>
        <w:footnoteRef/>
      </w:r>
      <w:r>
        <w:t xml:space="preserve"> Siehe dazu unten Ziff. 3.7.2</w:t>
      </w:r>
    </w:p>
  </w:footnote>
  <w:footnote w:id="46">
    <w:p w14:paraId="63DCC6BE" w14:textId="77777777" w:rsidR="00716684" w:rsidRDefault="00716684" w:rsidP="00716684">
      <w:pPr>
        <w:pStyle w:val="Funotentext"/>
      </w:pPr>
      <w:r>
        <w:rPr>
          <w:rStyle w:val="Funotenzeichen"/>
        </w:rPr>
        <w:footnoteRef/>
      </w:r>
      <w:r>
        <w:t xml:space="preserve"> Dazu oben Ziff. </w:t>
      </w:r>
      <w:r>
        <w:fldChar w:fldCharType="begin"/>
      </w:r>
      <w:r>
        <w:instrText xml:space="preserve"> REF _Ref202175115 \r \h </w:instrText>
      </w:r>
      <w:r>
        <w:fldChar w:fldCharType="separate"/>
      </w:r>
      <w:r>
        <w:t>3.4</w:t>
      </w:r>
      <w:r>
        <w:fldChar w:fldCharType="end"/>
      </w:r>
      <w:r>
        <w:t>.</w:t>
      </w:r>
    </w:p>
  </w:footnote>
  <w:footnote w:id="47">
    <w:p w14:paraId="27C15C96" w14:textId="77777777" w:rsidR="00716684" w:rsidRDefault="00716684" w:rsidP="00716684">
      <w:pPr>
        <w:pStyle w:val="Funotentext"/>
        <w:rPr>
          <w:rFonts w:eastAsia="Arial"/>
          <w:szCs w:val="18"/>
          <w:vertAlign w:val="superscript"/>
        </w:rPr>
      </w:pPr>
      <w:r>
        <w:rPr>
          <w:rStyle w:val="Funotenzeichen"/>
          <w:rFonts w:eastAsia="Arial"/>
          <w:szCs w:val="18"/>
        </w:rPr>
        <w:footnoteRef/>
      </w:r>
      <w:r>
        <w:t xml:space="preserve"> Dazu oben Ziff. </w:t>
      </w:r>
      <w:r>
        <w:fldChar w:fldCharType="begin"/>
      </w:r>
      <w:r>
        <w:instrText xml:space="preserve"> REF _Ref202520940 \r \h </w:instrText>
      </w:r>
      <w:r>
        <w:fldChar w:fldCharType="separate"/>
      </w:r>
      <w:r>
        <w:t>3.5</w:t>
      </w:r>
      <w:r>
        <w:fldChar w:fldCharType="end"/>
      </w:r>
      <w:r>
        <w:t xml:space="preserve"> und </w:t>
      </w:r>
      <w:r>
        <w:fldChar w:fldCharType="begin"/>
      </w:r>
      <w:r>
        <w:instrText xml:space="preserve"> REF _Ref202159410 \r \h </w:instrText>
      </w:r>
      <w:r>
        <w:fldChar w:fldCharType="separate"/>
      </w:r>
      <w:r>
        <w:t>3.6</w:t>
      </w:r>
      <w:r>
        <w:fldChar w:fldCharType="end"/>
      </w:r>
      <w:r>
        <w:t xml:space="preserve">. Vgl. auch </w:t>
      </w:r>
      <w:r>
        <w:rPr>
          <w:rFonts w:eastAsia="Arial"/>
        </w:rPr>
        <w:t>Bericht der Eidgenössischen Finanzkontrolle (EFK), Evaluation der Massnahmen im Bereich selbstbestimmtes Wohnen für Menschen mit Behinderungen vom 27.03.2025, S. 20 f. und 26.</w:t>
      </w:r>
    </w:p>
  </w:footnote>
  <w:footnote w:id="48">
    <w:p w14:paraId="4009C01B" w14:textId="77777777" w:rsidR="00716684" w:rsidRDefault="00716684" w:rsidP="00716684">
      <w:pPr>
        <w:pStyle w:val="Funotentext"/>
        <w:rPr>
          <w:rFonts w:eastAsia="Arial"/>
        </w:rPr>
      </w:pPr>
      <w:r>
        <w:rPr>
          <w:rStyle w:val="Funotenzeichen"/>
          <w:rFonts w:eastAsia="Arial"/>
          <w:szCs w:val="18"/>
        </w:rPr>
        <w:footnoteRef/>
      </w:r>
      <w:r>
        <w:t xml:space="preserve"> Vgl. </w:t>
      </w:r>
      <w:r>
        <w:rPr>
          <w:rFonts w:eastAsia="Arial"/>
        </w:rPr>
        <w:t>Bericht der Eidgenössischen Finanzkontrolle (EFK), Evaluation der Massnahmen im Bereich selbstbestimmtes Wohnen für Menschen mit Behinderungen vom 27.03.2025, S. 40.</w:t>
      </w:r>
    </w:p>
  </w:footnote>
  <w:footnote w:id="49">
    <w:p w14:paraId="511BAEF0" w14:textId="77777777" w:rsidR="00716684" w:rsidRDefault="00716684" w:rsidP="00716684">
      <w:pPr>
        <w:pStyle w:val="Funotentext"/>
        <w:rPr>
          <w:rFonts w:eastAsiaTheme="minorHAnsi"/>
        </w:rPr>
      </w:pPr>
      <w:r>
        <w:rPr>
          <w:vertAlign w:val="superscript"/>
        </w:rPr>
        <w:footnoteRef/>
      </w:r>
      <w:r>
        <w:rPr>
          <w:vertAlign w:val="superscript"/>
        </w:rPr>
        <w:t xml:space="preserve"> </w:t>
      </w:r>
      <w:r>
        <w:t xml:space="preserve">Vgl. </w:t>
      </w:r>
      <w:r>
        <w:rPr>
          <w:rFonts w:eastAsia="Arial"/>
        </w:rPr>
        <w:t xml:space="preserve">Bericht der Eidgenössischen Finanzkontrolle (EFK), Evaluation der Massnahmen im </w:t>
      </w:r>
      <w:r>
        <w:rPr>
          <w:rStyle w:val="Funotenzeichen"/>
          <w:szCs w:val="18"/>
        </w:rPr>
        <w:t>Bereich</w:t>
      </w:r>
      <w:r>
        <w:rPr>
          <w:rFonts w:eastAsia="Arial"/>
        </w:rPr>
        <w:t xml:space="preserve"> selbstbestimmtes Wohnen für Menschen mit Behinderungen vom 27.03.2025, S. </w:t>
      </w:r>
      <w:r>
        <w:rPr>
          <w:rFonts w:eastAsia="Arial"/>
          <w:szCs w:val="24"/>
        </w:rPr>
        <w:t>40 ff</w:t>
      </w:r>
      <w:r>
        <w:rPr>
          <w:rFonts w:eastAsia="Arial"/>
        </w:rPr>
        <w:t>.</w:t>
      </w:r>
    </w:p>
  </w:footnote>
  <w:footnote w:id="50">
    <w:p w14:paraId="2E1312F1" w14:textId="77777777" w:rsidR="00716684" w:rsidRDefault="00716684" w:rsidP="00716684">
      <w:pPr>
        <w:pStyle w:val="Funotentext"/>
      </w:pPr>
      <w:r>
        <w:rPr>
          <w:vertAlign w:val="superscript"/>
        </w:rPr>
        <w:footnoteRef/>
      </w:r>
      <w:r>
        <w:rPr>
          <w:vertAlign w:val="superscript"/>
        </w:rPr>
        <w:t xml:space="preserve"> </w:t>
      </w:r>
      <w:r>
        <w:t xml:space="preserve">Vgl. </w:t>
      </w:r>
      <w:r>
        <w:rPr>
          <w:rFonts w:eastAsia="Arial"/>
        </w:rPr>
        <w:t xml:space="preserve">Bericht der Eidgenössischen Finanzkontrolle (EFK), Evaluation der Massnahmen im </w:t>
      </w:r>
      <w:r>
        <w:t>Bereich</w:t>
      </w:r>
      <w:r>
        <w:rPr>
          <w:rFonts w:eastAsia="Arial"/>
        </w:rPr>
        <w:t xml:space="preserve"> selbstbestimmtes Wohnen für Menschen mit Behinderungen vom 27.03.2025, </w:t>
      </w:r>
      <w:r>
        <w:t xml:space="preserve">S. 29 f. </w:t>
      </w:r>
    </w:p>
  </w:footnote>
  <w:footnote w:id="51">
    <w:p w14:paraId="2CCA74A7" w14:textId="23A1A09E" w:rsidR="00716684" w:rsidRDefault="00716684" w:rsidP="00716684">
      <w:pPr>
        <w:pStyle w:val="Funotentext"/>
        <w:rPr>
          <w:lang w:val="de-DE"/>
        </w:rPr>
      </w:pPr>
      <w:r>
        <w:rPr>
          <w:rStyle w:val="Funotenzeichen"/>
        </w:rPr>
        <w:footnoteRef/>
      </w:r>
      <w:r>
        <w:t xml:space="preserve"> </w:t>
      </w:r>
      <w:r>
        <w:rPr>
          <w:lang w:val="de-DE"/>
        </w:rPr>
        <w:t xml:space="preserve">Es handelt sich um eine nicht repräsentative Umfrage des SBb. </w:t>
      </w:r>
      <w:r w:rsidR="000A5144" w:rsidRPr="000A5144">
        <w:rPr>
          <w:lang w:val="de-DE"/>
        </w:rPr>
        <w:t>An dieser Umfrage haben 127 blinde und sehbehinderte Personen teilgenommen.</w:t>
      </w:r>
      <w:r>
        <w:rPr>
          <w:lang w:val="de-DE"/>
        </w:rPr>
        <w:t xml:space="preserve"> </w:t>
      </w:r>
    </w:p>
    <w:p w14:paraId="6DEA00FC" w14:textId="77777777" w:rsidR="00716684" w:rsidRDefault="00716684" w:rsidP="00716684">
      <w:pPr>
        <w:pStyle w:val="Funotentext"/>
      </w:pPr>
    </w:p>
  </w:footnote>
  <w:footnote w:id="52">
    <w:p w14:paraId="4534A6FA" w14:textId="77777777" w:rsidR="00716684" w:rsidRDefault="00716684" w:rsidP="00716684">
      <w:pPr>
        <w:pStyle w:val="Funotentext"/>
      </w:pPr>
      <w:r>
        <w:rPr>
          <w:rStyle w:val="Funotenzeichen"/>
        </w:rPr>
        <w:footnoteRef/>
      </w:r>
      <w:r>
        <w:t xml:space="preserve"> </w:t>
      </w:r>
      <w:hyperlink r:id="rId7" w:history="1">
        <w:r>
          <w:rPr>
            <w:rStyle w:val="Hyperlink"/>
          </w:rPr>
          <w:t>Studie: "Unterstützung beim Wohnen zu Hause: Instrumente zur Bedarfsabklärung (A. Canonica / P. Margot-Cattin / R. Stalder / M. Abbas / G. Froidevaux, im Auftrag des Bundesamtes für Sozialversicherungen, Beiträge zur Sozialen Sicherheit, Forschungsbericht Nr. 11/22)</w:t>
        </w:r>
      </w:hyperlink>
    </w:p>
  </w:footnote>
  <w:footnote w:id="53">
    <w:p w14:paraId="0FF6A029" w14:textId="77777777" w:rsidR="00716684" w:rsidRDefault="00716684" w:rsidP="00716684">
      <w:pPr>
        <w:pStyle w:val="Funotentext"/>
        <w:rPr>
          <w:rFonts w:eastAsiaTheme="minorEastAsia"/>
        </w:rPr>
      </w:pPr>
      <w:r>
        <w:rPr>
          <w:vertAlign w:val="superscript"/>
        </w:rPr>
        <w:footnoteRef/>
      </w:r>
      <w:r>
        <w:rPr>
          <w:vertAlign w:val="superscript"/>
        </w:rPr>
        <w:t xml:space="preserve"> </w:t>
      </w:r>
      <w:r>
        <w:t xml:space="preserve">Vgl. </w:t>
      </w:r>
      <w:r>
        <w:rPr>
          <w:rFonts w:eastAsiaTheme="minorEastAsia"/>
        </w:rPr>
        <w:t xml:space="preserve">Bericht </w:t>
      </w:r>
      <w:r>
        <w:t>des</w:t>
      </w:r>
      <w:r>
        <w:rPr>
          <w:rFonts w:eastAsiaTheme="minorEastAsia"/>
        </w:rPr>
        <w:t xml:space="preserve"> </w:t>
      </w:r>
      <w:proofErr w:type="gramStart"/>
      <w:r>
        <w:rPr>
          <w:rFonts w:eastAsiaTheme="minorEastAsia"/>
        </w:rPr>
        <w:t>Schweizerischen</w:t>
      </w:r>
      <w:proofErr w:type="gramEnd"/>
      <w:r>
        <w:rPr>
          <w:rFonts w:eastAsiaTheme="minorEastAsia"/>
        </w:rPr>
        <w:t xml:space="preserve"> Gesundheitsobservatoriums OBSAN vom 8. Februar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A81D" w14:textId="77777777" w:rsidR="009C042D" w:rsidRPr="00BD655D" w:rsidRDefault="009C042D" w:rsidP="009C042D">
    <w:pPr>
      <w:pStyle w:val="Kopfzeile"/>
      <w:jc w:val="right"/>
      <w:rPr>
        <w:b/>
        <w:sz w:val="32"/>
        <w:szCs w:val="32"/>
      </w:rPr>
    </w:pPr>
    <w:bookmarkStart w:id="3" w:name="_Hlk210142501"/>
    <w:bookmarkStart w:id="4" w:name="_Hlk210142502"/>
    <w:r w:rsidRPr="00BD655D">
      <w:rPr>
        <w:b/>
        <w:sz w:val="32"/>
        <w:szCs w:val="32"/>
      </w:rPr>
      <w:t>Schweizerischer Blindenbund</w:t>
    </w:r>
  </w:p>
  <w:p w14:paraId="5A1446A9" w14:textId="77777777" w:rsidR="009C042D" w:rsidRPr="000240D9" w:rsidRDefault="009C042D" w:rsidP="009C042D">
    <w:pPr>
      <w:pStyle w:val="Kopfzeile"/>
      <w:jc w:val="right"/>
      <w:rPr>
        <w:spacing w:val="8"/>
        <w:szCs w:val="22"/>
      </w:rPr>
    </w:pPr>
    <w:r w:rsidRPr="000240D9">
      <w:rPr>
        <w:spacing w:val="8"/>
        <w:szCs w:val="22"/>
      </w:rPr>
      <w:t>Selbsthilfe blinder und sehbehinderter Menschen</w:t>
    </w:r>
  </w:p>
  <w:p w14:paraId="56E7B169" w14:textId="77777777" w:rsidR="009C042D" w:rsidRDefault="009C042D" w:rsidP="009C042D">
    <w:pPr>
      <w:pStyle w:val="Kopfzeile"/>
      <w:spacing w:before="60"/>
      <w:ind w:right="-653"/>
      <w:jc w:val="right"/>
      <w:rPr>
        <w:spacing w:val="6"/>
        <w:sz w:val="20"/>
      </w:rPr>
    </w:pPr>
    <w:r>
      <w:rPr>
        <w:noProof/>
        <w:lang w:eastAsia="de-CH"/>
      </w:rPr>
      <w:drawing>
        <wp:inline distT="0" distB="0" distL="0" distR="0" wp14:anchorId="60ED3A12" wp14:editId="12D177A4">
          <wp:extent cx="777600" cy="345600"/>
          <wp:effectExtent l="0" t="0" r="3810" b="0"/>
          <wp:docPr id="514462811" name="Grafik 5144628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00" cy="345600"/>
                  </a:xfrm>
                  <a:prstGeom prst="rect">
                    <a:avLst/>
                  </a:prstGeom>
                  <a:noFill/>
                  <a:ln>
                    <a:noFill/>
                  </a:ln>
                </pic:spPr>
              </pic:pic>
            </a:graphicData>
          </a:graphic>
        </wp:inline>
      </w:drawing>
    </w:r>
  </w:p>
  <w:p w14:paraId="118DF831" w14:textId="77777777" w:rsidR="009C042D" w:rsidRPr="000240D9" w:rsidRDefault="009C042D" w:rsidP="009C042D">
    <w:pPr>
      <w:pStyle w:val="Kopfzeile"/>
      <w:spacing w:before="60"/>
      <w:jc w:val="right"/>
      <w:rPr>
        <w:spacing w:val="6"/>
        <w:szCs w:val="22"/>
      </w:rPr>
    </w:pPr>
    <w:r w:rsidRPr="000240D9">
      <w:rPr>
        <w:spacing w:val="6"/>
        <w:szCs w:val="22"/>
      </w:rPr>
      <w:t>GEMEINSAM NACH VORNE SEHEN.</w:t>
    </w:r>
  </w:p>
  <w:p w14:paraId="0E772A9F" w14:textId="77777777" w:rsidR="009C042D" w:rsidRDefault="009C042D" w:rsidP="009C042D">
    <w:pPr>
      <w:pStyle w:val="Kopfzeile"/>
      <w:jc w:val="right"/>
      <w:rPr>
        <w:b/>
        <w:spacing w:val="6"/>
        <w:sz w:val="20"/>
      </w:rPr>
    </w:pPr>
  </w:p>
  <w:p w14:paraId="0CAADFCB" w14:textId="77777777" w:rsidR="009C042D" w:rsidRPr="004E0594" w:rsidRDefault="009C042D" w:rsidP="009C042D">
    <w:pPr>
      <w:pStyle w:val="Kopfzeile"/>
      <w:jc w:val="right"/>
      <w:rPr>
        <w:b/>
        <w:spacing w:val="6"/>
        <w:szCs w:val="24"/>
      </w:rPr>
    </w:pPr>
    <w:r>
      <w:rPr>
        <w:b/>
        <w:spacing w:val="6"/>
        <w:szCs w:val="24"/>
      </w:rPr>
      <w:t>Geschäftsstelle</w:t>
    </w:r>
  </w:p>
  <w:p w14:paraId="125833E8" w14:textId="77777777" w:rsidR="009C042D" w:rsidRPr="004E0594" w:rsidRDefault="009C042D" w:rsidP="009C042D">
    <w:pPr>
      <w:pStyle w:val="Kopfzeile"/>
      <w:jc w:val="right"/>
      <w:rPr>
        <w:rFonts w:cs="Arial"/>
        <w:szCs w:val="22"/>
      </w:rPr>
    </w:pPr>
    <w:r>
      <w:rPr>
        <w:rFonts w:cs="Arial"/>
        <w:szCs w:val="22"/>
      </w:rPr>
      <w:t>Friedackerstrasse 8</w:t>
    </w:r>
  </w:p>
  <w:p w14:paraId="5CCC17DB" w14:textId="77777777" w:rsidR="009C042D" w:rsidRPr="004E0594" w:rsidRDefault="009C042D" w:rsidP="009C042D">
    <w:pPr>
      <w:pStyle w:val="Kopfzeile"/>
      <w:jc w:val="right"/>
      <w:rPr>
        <w:rFonts w:cs="Arial"/>
        <w:szCs w:val="22"/>
      </w:rPr>
    </w:pPr>
    <w:r>
      <w:rPr>
        <w:rFonts w:cs="Arial"/>
        <w:szCs w:val="22"/>
      </w:rPr>
      <w:t>8050 Zürich</w:t>
    </w:r>
  </w:p>
  <w:p w14:paraId="1CBC1ED4" w14:textId="0C770A39" w:rsidR="009C042D" w:rsidRPr="004E0594" w:rsidRDefault="009C042D" w:rsidP="009C042D">
    <w:pPr>
      <w:pStyle w:val="Kopfzeile"/>
      <w:jc w:val="right"/>
      <w:rPr>
        <w:rFonts w:cs="Arial"/>
        <w:szCs w:val="22"/>
      </w:rPr>
    </w:pPr>
    <w:r>
      <w:rPr>
        <w:rFonts w:cs="Arial"/>
        <w:szCs w:val="22"/>
      </w:rPr>
      <w:t>Tel. 044 317 90 00</w:t>
    </w:r>
  </w:p>
  <w:p w14:paraId="77F75E90" w14:textId="77777777" w:rsidR="009C042D" w:rsidRPr="004E0594" w:rsidRDefault="009C042D" w:rsidP="009C042D">
    <w:pPr>
      <w:pStyle w:val="Kopfzeile"/>
      <w:jc w:val="right"/>
      <w:rPr>
        <w:rFonts w:cs="Arial"/>
        <w:szCs w:val="22"/>
      </w:rPr>
    </w:pPr>
    <w:r>
      <w:rPr>
        <w:rFonts w:cs="Arial"/>
        <w:szCs w:val="22"/>
      </w:rPr>
      <w:t>info</w:t>
    </w:r>
    <w:r w:rsidRPr="004E0594">
      <w:rPr>
        <w:rFonts w:cs="Arial"/>
        <w:szCs w:val="22"/>
      </w:rPr>
      <w:t>@blind.ch; www.blind.ch</w:t>
    </w:r>
  </w:p>
  <w:p w14:paraId="67F3B950" w14:textId="77777777" w:rsidR="009F5359" w:rsidRPr="00587A5A" w:rsidRDefault="009C042D" w:rsidP="00587A5A">
    <w:pPr>
      <w:pStyle w:val="Kopfzeile"/>
      <w:spacing w:before="60"/>
      <w:jc w:val="right"/>
      <w:rPr>
        <w:spacing w:val="6"/>
        <w:sz w:val="20"/>
      </w:rPr>
    </w:pPr>
    <w:r>
      <w:rPr>
        <w:b/>
        <w:noProof/>
        <w:sz w:val="32"/>
        <w:szCs w:val="32"/>
        <w:lang w:eastAsia="de-CH"/>
      </w:rPr>
      <w:drawing>
        <wp:anchor distT="0" distB="0" distL="114300" distR="114300" simplePos="0" relativeHeight="251659264" behindDoc="1" locked="0" layoutInCell="1" allowOverlap="1" wp14:anchorId="4797279E" wp14:editId="37C7E71F">
          <wp:simplePos x="0" y="0"/>
          <wp:positionH relativeFrom="column">
            <wp:posOffset>5694680</wp:posOffset>
          </wp:positionH>
          <wp:positionV relativeFrom="paragraph">
            <wp:posOffset>41275</wp:posOffset>
          </wp:positionV>
          <wp:extent cx="274320" cy="295275"/>
          <wp:effectExtent l="0" t="0" r="0" b="9525"/>
          <wp:wrapNone/>
          <wp:docPr id="1990893554" name="Grafik 19908935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4320" cy="295275"/>
                  </a:xfrm>
                  <a:prstGeom prst="rect">
                    <a:avLst/>
                  </a:prstGeom>
                </pic:spPr>
              </pic:pic>
            </a:graphicData>
          </a:graphic>
          <wp14:sizeRelH relativeFrom="page">
            <wp14:pctWidth>0</wp14:pctWidth>
          </wp14:sizeRelH>
          <wp14:sizeRelV relativeFrom="page">
            <wp14:pctHeight>0</wp14:pctHeight>
          </wp14:sizeRelV>
        </wp:anchor>
      </w:drawing>
    </w:r>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9D4C0" w14:textId="0F06900A" w:rsidR="006B28F7" w:rsidRPr="00587A5A" w:rsidRDefault="006B28F7" w:rsidP="00587A5A">
    <w:pPr>
      <w:pStyle w:val="Kopfzeile"/>
      <w:spacing w:before="60"/>
      <w:jc w:val="right"/>
      <w:rPr>
        <w:spacing w:val="6"/>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224C"/>
    <w:multiLevelType w:val="hybridMultilevel"/>
    <w:tmpl w:val="F93E58D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03FEB3D0"/>
    <w:multiLevelType w:val="hybridMultilevel"/>
    <w:tmpl w:val="FFFFFFFF"/>
    <w:lvl w:ilvl="0" w:tplc="E7FEB2FA">
      <w:start w:val="1"/>
      <w:numFmt w:val="bullet"/>
      <w:lvlText w:val=""/>
      <w:lvlJc w:val="left"/>
      <w:pPr>
        <w:ind w:left="720" w:hanging="360"/>
      </w:pPr>
      <w:rPr>
        <w:rFonts w:ascii="Symbol" w:hAnsi="Symbol" w:hint="default"/>
      </w:rPr>
    </w:lvl>
    <w:lvl w:ilvl="1" w:tplc="96AE1EF6">
      <w:start w:val="1"/>
      <w:numFmt w:val="bullet"/>
      <w:lvlText w:val="o"/>
      <w:lvlJc w:val="left"/>
      <w:pPr>
        <w:ind w:left="1440" w:hanging="360"/>
      </w:pPr>
      <w:rPr>
        <w:rFonts w:ascii="Courier New" w:hAnsi="Courier New" w:cs="Times New Roman" w:hint="default"/>
      </w:rPr>
    </w:lvl>
    <w:lvl w:ilvl="2" w:tplc="3654B1C0">
      <w:start w:val="1"/>
      <w:numFmt w:val="bullet"/>
      <w:lvlText w:val=""/>
      <w:lvlJc w:val="left"/>
      <w:pPr>
        <w:ind w:left="2160" w:hanging="360"/>
      </w:pPr>
      <w:rPr>
        <w:rFonts w:ascii="Wingdings" w:hAnsi="Wingdings" w:hint="default"/>
      </w:rPr>
    </w:lvl>
    <w:lvl w:ilvl="3" w:tplc="A970E0A6">
      <w:start w:val="1"/>
      <w:numFmt w:val="bullet"/>
      <w:lvlText w:val=""/>
      <w:lvlJc w:val="left"/>
      <w:pPr>
        <w:ind w:left="2880" w:hanging="360"/>
      </w:pPr>
      <w:rPr>
        <w:rFonts w:ascii="Symbol" w:hAnsi="Symbol" w:hint="default"/>
      </w:rPr>
    </w:lvl>
    <w:lvl w:ilvl="4" w:tplc="0254BEDA">
      <w:start w:val="1"/>
      <w:numFmt w:val="bullet"/>
      <w:lvlText w:val="o"/>
      <w:lvlJc w:val="left"/>
      <w:pPr>
        <w:ind w:left="3600" w:hanging="360"/>
      </w:pPr>
      <w:rPr>
        <w:rFonts w:ascii="Courier New" w:hAnsi="Courier New" w:cs="Times New Roman" w:hint="default"/>
      </w:rPr>
    </w:lvl>
    <w:lvl w:ilvl="5" w:tplc="35B267A6">
      <w:start w:val="1"/>
      <w:numFmt w:val="bullet"/>
      <w:lvlText w:val=""/>
      <w:lvlJc w:val="left"/>
      <w:pPr>
        <w:ind w:left="4320" w:hanging="360"/>
      </w:pPr>
      <w:rPr>
        <w:rFonts w:ascii="Wingdings" w:hAnsi="Wingdings" w:hint="default"/>
      </w:rPr>
    </w:lvl>
    <w:lvl w:ilvl="6" w:tplc="D90C64D8">
      <w:start w:val="1"/>
      <w:numFmt w:val="bullet"/>
      <w:lvlText w:val=""/>
      <w:lvlJc w:val="left"/>
      <w:pPr>
        <w:ind w:left="5040" w:hanging="360"/>
      </w:pPr>
      <w:rPr>
        <w:rFonts w:ascii="Symbol" w:hAnsi="Symbol" w:hint="default"/>
      </w:rPr>
    </w:lvl>
    <w:lvl w:ilvl="7" w:tplc="1F9266B6">
      <w:start w:val="1"/>
      <w:numFmt w:val="bullet"/>
      <w:lvlText w:val="o"/>
      <w:lvlJc w:val="left"/>
      <w:pPr>
        <w:ind w:left="5760" w:hanging="360"/>
      </w:pPr>
      <w:rPr>
        <w:rFonts w:ascii="Courier New" w:hAnsi="Courier New" w:cs="Times New Roman" w:hint="default"/>
      </w:rPr>
    </w:lvl>
    <w:lvl w:ilvl="8" w:tplc="EFB48EC0">
      <w:start w:val="1"/>
      <w:numFmt w:val="bullet"/>
      <w:lvlText w:val=""/>
      <w:lvlJc w:val="left"/>
      <w:pPr>
        <w:ind w:left="6480" w:hanging="360"/>
      </w:pPr>
      <w:rPr>
        <w:rFonts w:ascii="Wingdings" w:hAnsi="Wingdings" w:hint="default"/>
      </w:rPr>
    </w:lvl>
  </w:abstractNum>
  <w:abstractNum w:abstractNumId="2" w15:restartNumberingAfterBreak="0">
    <w:nsid w:val="0DE11100"/>
    <w:multiLevelType w:val="hybridMultilevel"/>
    <w:tmpl w:val="D352A3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21023D6"/>
    <w:multiLevelType w:val="hybridMultilevel"/>
    <w:tmpl w:val="FFBA14CE"/>
    <w:lvl w:ilvl="0" w:tplc="C6F07F1E">
      <w:numFmt w:val="bullet"/>
      <w:lvlText w:val="-"/>
      <w:lvlJc w:val="left"/>
      <w:pPr>
        <w:ind w:left="720" w:hanging="360"/>
      </w:pPr>
      <w:rPr>
        <w:rFonts w:ascii="Arial" w:eastAsia="Aptos"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1D08698E"/>
    <w:multiLevelType w:val="hybridMultilevel"/>
    <w:tmpl w:val="90F0EEFE"/>
    <w:lvl w:ilvl="0" w:tplc="B00EB152">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21532A71"/>
    <w:multiLevelType w:val="hybridMultilevel"/>
    <w:tmpl w:val="E5B4DEB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2CEA4390"/>
    <w:multiLevelType w:val="hybridMultilevel"/>
    <w:tmpl w:val="C3784E30"/>
    <w:lvl w:ilvl="0" w:tplc="CBBA1BCC">
      <w:numFmt w:val="bullet"/>
      <w:lvlText w:val="-"/>
      <w:lvlJc w:val="left"/>
      <w:pPr>
        <w:ind w:left="360" w:hanging="360"/>
      </w:pPr>
      <w:rPr>
        <w:rFonts w:ascii="Frutiger Neue 1450 Pro Regular" w:eastAsia="Times New Roman" w:hAnsi="Frutiger Neue 1450 Pro Regular"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36730C66"/>
    <w:multiLevelType w:val="hybridMultilevel"/>
    <w:tmpl w:val="A6F8EE4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8" w15:restartNumberingAfterBreak="0">
    <w:nsid w:val="39FE0413"/>
    <w:multiLevelType w:val="hybridMultilevel"/>
    <w:tmpl w:val="D6529C5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A94391A"/>
    <w:multiLevelType w:val="hybridMultilevel"/>
    <w:tmpl w:val="B7DCED12"/>
    <w:lvl w:ilvl="0" w:tplc="75AE3098">
      <w:start w:val="1"/>
      <w:numFmt w:val="bullet"/>
      <w:lvlText w:val=""/>
      <w:lvlJc w:val="left"/>
      <w:pPr>
        <w:ind w:left="720" w:hanging="360"/>
      </w:pPr>
      <w:rPr>
        <w:rFonts w:ascii="Symbol" w:hAnsi="Symbol" w:hint="default"/>
      </w:rPr>
    </w:lvl>
    <w:lvl w:ilvl="1" w:tplc="92069DAE">
      <w:start w:val="1"/>
      <w:numFmt w:val="bullet"/>
      <w:lvlText w:val="o"/>
      <w:lvlJc w:val="left"/>
      <w:pPr>
        <w:ind w:left="1440" w:hanging="360"/>
      </w:pPr>
      <w:rPr>
        <w:rFonts w:ascii="Courier New" w:hAnsi="Courier New" w:cs="Times New Roman" w:hint="default"/>
      </w:rPr>
    </w:lvl>
    <w:lvl w:ilvl="2" w:tplc="B8064F72">
      <w:start w:val="1"/>
      <w:numFmt w:val="bullet"/>
      <w:lvlText w:val=""/>
      <w:lvlJc w:val="left"/>
      <w:pPr>
        <w:ind w:left="2160" w:hanging="360"/>
      </w:pPr>
      <w:rPr>
        <w:rFonts w:ascii="Wingdings" w:hAnsi="Wingdings" w:hint="default"/>
      </w:rPr>
    </w:lvl>
    <w:lvl w:ilvl="3" w:tplc="348668F8">
      <w:start w:val="1"/>
      <w:numFmt w:val="bullet"/>
      <w:lvlText w:val=""/>
      <w:lvlJc w:val="left"/>
      <w:pPr>
        <w:ind w:left="2880" w:hanging="360"/>
      </w:pPr>
      <w:rPr>
        <w:rFonts w:ascii="Symbol" w:hAnsi="Symbol" w:hint="default"/>
      </w:rPr>
    </w:lvl>
    <w:lvl w:ilvl="4" w:tplc="7E5C2274">
      <w:start w:val="1"/>
      <w:numFmt w:val="bullet"/>
      <w:lvlText w:val="o"/>
      <w:lvlJc w:val="left"/>
      <w:pPr>
        <w:ind w:left="3600" w:hanging="360"/>
      </w:pPr>
      <w:rPr>
        <w:rFonts w:ascii="Courier New" w:hAnsi="Courier New" w:cs="Times New Roman" w:hint="default"/>
      </w:rPr>
    </w:lvl>
    <w:lvl w:ilvl="5" w:tplc="36E68D2C">
      <w:start w:val="1"/>
      <w:numFmt w:val="bullet"/>
      <w:lvlText w:val=""/>
      <w:lvlJc w:val="left"/>
      <w:pPr>
        <w:ind w:left="4320" w:hanging="360"/>
      </w:pPr>
      <w:rPr>
        <w:rFonts w:ascii="Wingdings" w:hAnsi="Wingdings" w:hint="default"/>
      </w:rPr>
    </w:lvl>
    <w:lvl w:ilvl="6" w:tplc="6476645C">
      <w:start w:val="1"/>
      <w:numFmt w:val="bullet"/>
      <w:lvlText w:val=""/>
      <w:lvlJc w:val="left"/>
      <w:pPr>
        <w:ind w:left="5040" w:hanging="360"/>
      </w:pPr>
      <w:rPr>
        <w:rFonts w:ascii="Symbol" w:hAnsi="Symbol" w:hint="default"/>
      </w:rPr>
    </w:lvl>
    <w:lvl w:ilvl="7" w:tplc="736A16A6">
      <w:start w:val="1"/>
      <w:numFmt w:val="bullet"/>
      <w:lvlText w:val="o"/>
      <w:lvlJc w:val="left"/>
      <w:pPr>
        <w:ind w:left="5760" w:hanging="360"/>
      </w:pPr>
      <w:rPr>
        <w:rFonts w:ascii="Courier New" w:hAnsi="Courier New" w:cs="Times New Roman" w:hint="default"/>
      </w:rPr>
    </w:lvl>
    <w:lvl w:ilvl="8" w:tplc="39C0F4CC">
      <w:start w:val="1"/>
      <w:numFmt w:val="bullet"/>
      <w:lvlText w:val=""/>
      <w:lvlJc w:val="left"/>
      <w:pPr>
        <w:ind w:left="6480" w:hanging="360"/>
      </w:pPr>
      <w:rPr>
        <w:rFonts w:ascii="Wingdings" w:hAnsi="Wingdings" w:hint="default"/>
      </w:rPr>
    </w:lvl>
  </w:abstractNum>
  <w:abstractNum w:abstractNumId="10" w15:restartNumberingAfterBreak="0">
    <w:nsid w:val="3C12CB18"/>
    <w:multiLevelType w:val="hybridMultilevel"/>
    <w:tmpl w:val="C8DC3606"/>
    <w:lvl w:ilvl="0" w:tplc="FC1A359A">
      <w:start w:val="1"/>
      <w:numFmt w:val="bullet"/>
      <w:lvlText w:val=""/>
      <w:lvlJc w:val="left"/>
      <w:pPr>
        <w:ind w:left="360" w:hanging="360"/>
      </w:pPr>
      <w:rPr>
        <w:rFonts w:ascii="Symbol" w:hAnsi="Symbol" w:hint="default"/>
      </w:rPr>
    </w:lvl>
    <w:lvl w:ilvl="1" w:tplc="A0A8C4A8">
      <w:start w:val="1"/>
      <w:numFmt w:val="bullet"/>
      <w:lvlText w:val="o"/>
      <w:lvlJc w:val="left"/>
      <w:pPr>
        <w:ind w:left="1080" w:hanging="360"/>
      </w:pPr>
      <w:rPr>
        <w:rFonts w:ascii="Courier New" w:hAnsi="Courier New" w:cs="Times New Roman" w:hint="default"/>
      </w:rPr>
    </w:lvl>
    <w:lvl w:ilvl="2" w:tplc="E696B3CA">
      <w:start w:val="1"/>
      <w:numFmt w:val="bullet"/>
      <w:lvlText w:val=""/>
      <w:lvlJc w:val="left"/>
      <w:pPr>
        <w:ind w:left="1800" w:hanging="360"/>
      </w:pPr>
      <w:rPr>
        <w:rFonts w:ascii="Wingdings" w:hAnsi="Wingdings" w:hint="default"/>
      </w:rPr>
    </w:lvl>
    <w:lvl w:ilvl="3" w:tplc="EA5C4DE2">
      <w:start w:val="1"/>
      <w:numFmt w:val="bullet"/>
      <w:lvlText w:val=""/>
      <w:lvlJc w:val="left"/>
      <w:pPr>
        <w:ind w:left="2520" w:hanging="360"/>
      </w:pPr>
      <w:rPr>
        <w:rFonts w:ascii="Symbol" w:hAnsi="Symbol" w:hint="default"/>
      </w:rPr>
    </w:lvl>
    <w:lvl w:ilvl="4" w:tplc="38440332">
      <w:start w:val="1"/>
      <w:numFmt w:val="bullet"/>
      <w:lvlText w:val="o"/>
      <w:lvlJc w:val="left"/>
      <w:pPr>
        <w:ind w:left="3240" w:hanging="360"/>
      </w:pPr>
      <w:rPr>
        <w:rFonts w:ascii="Courier New" w:hAnsi="Courier New" w:cs="Times New Roman" w:hint="default"/>
      </w:rPr>
    </w:lvl>
    <w:lvl w:ilvl="5" w:tplc="E90AB72C">
      <w:start w:val="1"/>
      <w:numFmt w:val="bullet"/>
      <w:lvlText w:val=""/>
      <w:lvlJc w:val="left"/>
      <w:pPr>
        <w:ind w:left="3960" w:hanging="360"/>
      </w:pPr>
      <w:rPr>
        <w:rFonts w:ascii="Wingdings" w:hAnsi="Wingdings" w:hint="default"/>
      </w:rPr>
    </w:lvl>
    <w:lvl w:ilvl="6" w:tplc="BD52977A">
      <w:start w:val="1"/>
      <w:numFmt w:val="bullet"/>
      <w:lvlText w:val=""/>
      <w:lvlJc w:val="left"/>
      <w:pPr>
        <w:ind w:left="4680" w:hanging="360"/>
      </w:pPr>
      <w:rPr>
        <w:rFonts w:ascii="Symbol" w:hAnsi="Symbol" w:hint="default"/>
      </w:rPr>
    </w:lvl>
    <w:lvl w:ilvl="7" w:tplc="A76C71B8">
      <w:start w:val="1"/>
      <w:numFmt w:val="bullet"/>
      <w:lvlText w:val="o"/>
      <w:lvlJc w:val="left"/>
      <w:pPr>
        <w:ind w:left="5400" w:hanging="360"/>
      </w:pPr>
      <w:rPr>
        <w:rFonts w:ascii="Courier New" w:hAnsi="Courier New" w:cs="Times New Roman" w:hint="default"/>
      </w:rPr>
    </w:lvl>
    <w:lvl w:ilvl="8" w:tplc="292CF30E">
      <w:start w:val="1"/>
      <w:numFmt w:val="bullet"/>
      <w:lvlText w:val=""/>
      <w:lvlJc w:val="left"/>
      <w:pPr>
        <w:ind w:left="6120" w:hanging="360"/>
      </w:pPr>
      <w:rPr>
        <w:rFonts w:ascii="Wingdings" w:hAnsi="Wingdings" w:hint="default"/>
      </w:rPr>
    </w:lvl>
  </w:abstractNum>
  <w:abstractNum w:abstractNumId="11" w15:restartNumberingAfterBreak="0">
    <w:nsid w:val="3DE4023C"/>
    <w:multiLevelType w:val="hybridMultilevel"/>
    <w:tmpl w:val="98B87974"/>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46420FAE"/>
    <w:multiLevelType w:val="hybridMultilevel"/>
    <w:tmpl w:val="DE62F800"/>
    <w:lvl w:ilvl="0" w:tplc="E696B3CA">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3" w15:restartNumberingAfterBreak="0">
    <w:nsid w:val="53483B2B"/>
    <w:multiLevelType w:val="hybridMultilevel"/>
    <w:tmpl w:val="C01C95C8"/>
    <w:lvl w:ilvl="0" w:tplc="B16296C6">
      <w:start w:val="5"/>
      <w:numFmt w:val="bullet"/>
      <w:lvlText w:val="-"/>
      <w:lvlJc w:val="left"/>
      <w:pPr>
        <w:ind w:left="720" w:hanging="360"/>
      </w:pPr>
      <w:rPr>
        <w:rFonts w:ascii="Arial" w:eastAsiaTheme="minorHAnsi" w:hAnsi="Arial" w:cs="Arial" w:hint="default"/>
      </w:rPr>
    </w:lvl>
    <w:lvl w:ilvl="1" w:tplc="FFFFFFFF">
      <w:start w:val="1"/>
      <w:numFmt w:val="bullet"/>
      <w:lvlText w:val=""/>
      <w:lvlJc w:val="left"/>
      <w:pPr>
        <w:ind w:left="1440" w:hanging="360"/>
      </w:pPr>
      <w:rPr>
        <w:rFonts w:ascii="Symbol" w:hAnsi="Symbol"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4" w15:restartNumberingAfterBreak="0">
    <w:nsid w:val="66DB2363"/>
    <w:multiLevelType w:val="hybridMultilevel"/>
    <w:tmpl w:val="C8A02B26"/>
    <w:lvl w:ilvl="0" w:tplc="B16296C6">
      <w:start w:val="5"/>
      <w:numFmt w:val="bullet"/>
      <w:lvlText w:val="-"/>
      <w:lvlJc w:val="left"/>
      <w:pPr>
        <w:ind w:left="72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67F31526"/>
    <w:multiLevelType w:val="multilevel"/>
    <w:tmpl w:val="9A24C0E6"/>
    <w:lvl w:ilvl="0">
      <w:start w:val="1"/>
      <w:numFmt w:val="decimal"/>
      <w:lvlText w:val="%1."/>
      <w:lvlJc w:val="left"/>
      <w:pPr>
        <w:ind w:left="360" w:hanging="360"/>
      </w:pPr>
    </w:lvl>
    <w:lvl w:ilvl="1">
      <w:start w:val="1"/>
      <w:numFmt w:val="decimal"/>
      <w:lvlText w:val="%1.%2"/>
      <w:lvlJc w:val="left"/>
      <w:pPr>
        <w:ind w:left="405" w:hanging="405"/>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6" w15:restartNumberingAfterBreak="0">
    <w:nsid w:val="6A354801"/>
    <w:multiLevelType w:val="hybridMultilevel"/>
    <w:tmpl w:val="2C341AF0"/>
    <w:lvl w:ilvl="0" w:tplc="2C840F8E">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5D53B9A"/>
    <w:multiLevelType w:val="hybridMultilevel"/>
    <w:tmpl w:val="6E8C5F70"/>
    <w:lvl w:ilvl="0" w:tplc="08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761B3B63"/>
    <w:multiLevelType w:val="hybridMultilevel"/>
    <w:tmpl w:val="8BE2E9E6"/>
    <w:lvl w:ilvl="0" w:tplc="08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772E7D0D"/>
    <w:multiLevelType w:val="hybridMultilevel"/>
    <w:tmpl w:val="200A997E"/>
    <w:lvl w:ilvl="0" w:tplc="B16296C6">
      <w:start w:val="5"/>
      <w:numFmt w:val="bullet"/>
      <w:lvlText w:val="-"/>
      <w:lvlJc w:val="left"/>
      <w:pPr>
        <w:ind w:left="72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num w:numId="1" w16cid:durableId="1676494880">
    <w:abstractNumId w:val="11"/>
  </w:num>
  <w:num w:numId="2" w16cid:durableId="1009260483">
    <w:abstractNumId w:val="8"/>
  </w:num>
  <w:num w:numId="3" w16cid:durableId="865601136">
    <w:abstractNumId w:val="6"/>
  </w:num>
  <w:num w:numId="4" w16cid:durableId="323553537">
    <w:abstractNumId w:val="2"/>
  </w:num>
  <w:num w:numId="5" w16cid:durableId="844592270">
    <w:abstractNumId w:val="16"/>
  </w:num>
  <w:num w:numId="6" w16cid:durableId="1444305943">
    <w:abstractNumId w:val="13"/>
  </w:num>
  <w:num w:numId="7" w16cid:durableId="893278806">
    <w:abstractNumId w:val="3"/>
  </w:num>
  <w:num w:numId="8" w16cid:durableId="696472617">
    <w:abstractNumId w:val="5"/>
  </w:num>
  <w:num w:numId="9" w16cid:durableId="2134903620">
    <w:abstractNumId w:val="7"/>
  </w:num>
  <w:num w:numId="10" w16cid:durableId="2139100070">
    <w:abstractNumId w:val="18"/>
  </w:num>
  <w:num w:numId="11" w16cid:durableId="1409424199">
    <w:abstractNumId w:val="0"/>
  </w:num>
  <w:num w:numId="12" w16cid:durableId="1840195736">
    <w:abstractNumId w:val="1"/>
  </w:num>
  <w:num w:numId="13" w16cid:durableId="509608572">
    <w:abstractNumId w:val="4"/>
  </w:num>
  <w:num w:numId="14" w16cid:durableId="427040050">
    <w:abstractNumId w:val="12"/>
  </w:num>
  <w:num w:numId="15" w16cid:durableId="1641497518">
    <w:abstractNumId w:val="17"/>
  </w:num>
  <w:num w:numId="16" w16cid:durableId="493376461">
    <w:abstractNumId w:val="9"/>
  </w:num>
  <w:num w:numId="17" w16cid:durableId="1300842943">
    <w:abstractNumId w:val="10"/>
  </w:num>
  <w:num w:numId="18" w16cid:durableId="9052657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5329613">
    <w:abstractNumId w:val="5"/>
  </w:num>
  <w:num w:numId="20" w16cid:durableId="2016834912">
    <w:abstractNumId w:val="7"/>
  </w:num>
  <w:num w:numId="21" w16cid:durableId="81724684">
    <w:abstractNumId w:val="18"/>
  </w:num>
  <w:num w:numId="22" w16cid:durableId="596326433">
    <w:abstractNumId w:val="0"/>
  </w:num>
  <w:num w:numId="23" w16cid:durableId="1302226421">
    <w:abstractNumId w:val="17"/>
  </w:num>
  <w:num w:numId="24" w16cid:durableId="2094621311">
    <w:abstractNumId w:val="10"/>
  </w:num>
  <w:num w:numId="25" w16cid:durableId="882791174">
    <w:abstractNumId w:val="14"/>
  </w:num>
  <w:num w:numId="26" w16cid:durableId="9012116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D3"/>
    <w:rsid w:val="00007FBB"/>
    <w:rsid w:val="0001321E"/>
    <w:rsid w:val="000210F7"/>
    <w:rsid w:val="000240D9"/>
    <w:rsid w:val="00026145"/>
    <w:rsid w:val="00042343"/>
    <w:rsid w:val="000570EC"/>
    <w:rsid w:val="00060811"/>
    <w:rsid w:val="00063D84"/>
    <w:rsid w:val="00073053"/>
    <w:rsid w:val="00073A8F"/>
    <w:rsid w:val="00077E31"/>
    <w:rsid w:val="00080539"/>
    <w:rsid w:val="00082104"/>
    <w:rsid w:val="000821E9"/>
    <w:rsid w:val="000A1674"/>
    <w:rsid w:val="000A5144"/>
    <w:rsid w:val="000B0D1F"/>
    <w:rsid w:val="000B596F"/>
    <w:rsid w:val="000C08BC"/>
    <w:rsid w:val="000C1567"/>
    <w:rsid w:val="000C61BB"/>
    <w:rsid w:val="000C68D4"/>
    <w:rsid w:val="000D0C43"/>
    <w:rsid w:val="000D30A0"/>
    <w:rsid w:val="000D3A08"/>
    <w:rsid w:val="000E5939"/>
    <w:rsid w:val="000F355F"/>
    <w:rsid w:val="000F3CEB"/>
    <w:rsid w:val="000F3FEF"/>
    <w:rsid w:val="001020A7"/>
    <w:rsid w:val="00102105"/>
    <w:rsid w:val="001026E2"/>
    <w:rsid w:val="00102751"/>
    <w:rsid w:val="0010697B"/>
    <w:rsid w:val="00110096"/>
    <w:rsid w:val="00112C40"/>
    <w:rsid w:val="00117785"/>
    <w:rsid w:val="001261D2"/>
    <w:rsid w:val="0012665C"/>
    <w:rsid w:val="001275A1"/>
    <w:rsid w:val="001323E0"/>
    <w:rsid w:val="001375F2"/>
    <w:rsid w:val="00140339"/>
    <w:rsid w:val="001411D6"/>
    <w:rsid w:val="00147C05"/>
    <w:rsid w:val="001522E4"/>
    <w:rsid w:val="001604BA"/>
    <w:rsid w:val="00160F06"/>
    <w:rsid w:val="00171FFF"/>
    <w:rsid w:val="00177CDD"/>
    <w:rsid w:val="00187665"/>
    <w:rsid w:val="00197A20"/>
    <w:rsid w:val="001A353D"/>
    <w:rsid w:val="001A7058"/>
    <w:rsid w:val="001C0751"/>
    <w:rsid w:val="001C2E7C"/>
    <w:rsid w:val="001E1713"/>
    <w:rsid w:val="001E2EB3"/>
    <w:rsid w:val="00201B6A"/>
    <w:rsid w:val="0020730B"/>
    <w:rsid w:val="002212D1"/>
    <w:rsid w:val="00221D82"/>
    <w:rsid w:val="00223CC1"/>
    <w:rsid w:val="00233AA6"/>
    <w:rsid w:val="00236EDE"/>
    <w:rsid w:val="0024308C"/>
    <w:rsid w:val="00243F55"/>
    <w:rsid w:val="00257158"/>
    <w:rsid w:val="00260BC3"/>
    <w:rsid w:val="0026497C"/>
    <w:rsid w:val="00264E1E"/>
    <w:rsid w:val="002673B6"/>
    <w:rsid w:val="00296E32"/>
    <w:rsid w:val="002A378D"/>
    <w:rsid w:val="002A5232"/>
    <w:rsid w:val="002A577F"/>
    <w:rsid w:val="002A71FD"/>
    <w:rsid w:val="002A7D41"/>
    <w:rsid w:val="002B3874"/>
    <w:rsid w:val="002B7158"/>
    <w:rsid w:val="002C65C2"/>
    <w:rsid w:val="002D0B47"/>
    <w:rsid w:val="002D1C5C"/>
    <w:rsid w:val="002D3D59"/>
    <w:rsid w:val="002E0A0B"/>
    <w:rsid w:val="002E19FB"/>
    <w:rsid w:val="002E4E15"/>
    <w:rsid w:val="002F2535"/>
    <w:rsid w:val="002F6C38"/>
    <w:rsid w:val="00301A6C"/>
    <w:rsid w:val="00303226"/>
    <w:rsid w:val="00310A2D"/>
    <w:rsid w:val="0032546E"/>
    <w:rsid w:val="00325F6F"/>
    <w:rsid w:val="00332057"/>
    <w:rsid w:val="00347406"/>
    <w:rsid w:val="0034756A"/>
    <w:rsid w:val="003476DF"/>
    <w:rsid w:val="003552E4"/>
    <w:rsid w:val="003709AE"/>
    <w:rsid w:val="0037151F"/>
    <w:rsid w:val="00371872"/>
    <w:rsid w:val="00377B67"/>
    <w:rsid w:val="0038389D"/>
    <w:rsid w:val="00384278"/>
    <w:rsid w:val="00386699"/>
    <w:rsid w:val="003965C4"/>
    <w:rsid w:val="003A22BF"/>
    <w:rsid w:val="003A2C56"/>
    <w:rsid w:val="003A677F"/>
    <w:rsid w:val="003B09BD"/>
    <w:rsid w:val="003B259D"/>
    <w:rsid w:val="003B2BF4"/>
    <w:rsid w:val="003C2969"/>
    <w:rsid w:val="003C6AEA"/>
    <w:rsid w:val="003F0918"/>
    <w:rsid w:val="003F3774"/>
    <w:rsid w:val="003F6B09"/>
    <w:rsid w:val="003F7ABD"/>
    <w:rsid w:val="004018AC"/>
    <w:rsid w:val="00404C42"/>
    <w:rsid w:val="0041032E"/>
    <w:rsid w:val="00421687"/>
    <w:rsid w:val="00426D5D"/>
    <w:rsid w:val="0042728F"/>
    <w:rsid w:val="004314FE"/>
    <w:rsid w:val="00442A9F"/>
    <w:rsid w:val="004473B9"/>
    <w:rsid w:val="00450F62"/>
    <w:rsid w:val="00455608"/>
    <w:rsid w:val="00467F11"/>
    <w:rsid w:val="0047532F"/>
    <w:rsid w:val="00475735"/>
    <w:rsid w:val="00476EC7"/>
    <w:rsid w:val="00484159"/>
    <w:rsid w:val="00494DA4"/>
    <w:rsid w:val="004A6875"/>
    <w:rsid w:val="004B54A7"/>
    <w:rsid w:val="004C300E"/>
    <w:rsid w:val="004C6A28"/>
    <w:rsid w:val="004E0594"/>
    <w:rsid w:val="004E09BB"/>
    <w:rsid w:val="004E2119"/>
    <w:rsid w:val="004E43B1"/>
    <w:rsid w:val="004E7EA4"/>
    <w:rsid w:val="004F1EC1"/>
    <w:rsid w:val="004F5B8D"/>
    <w:rsid w:val="004F6143"/>
    <w:rsid w:val="00500BD7"/>
    <w:rsid w:val="00514F0A"/>
    <w:rsid w:val="005175DD"/>
    <w:rsid w:val="0052073A"/>
    <w:rsid w:val="0052607F"/>
    <w:rsid w:val="00530893"/>
    <w:rsid w:val="005664FB"/>
    <w:rsid w:val="0056714C"/>
    <w:rsid w:val="00586BF6"/>
    <w:rsid w:val="00587A5A"/>
    <w:rsid w:val="005A695E"/>
    <w:rsid w:val="005B323D"/>
    <w:rsid w:val="005B42B8"/>
    <w:rsid w:val="005B48BC"/>
    <w:rsid w:val="005C210C"/>
    <w:rsid w:val="005D2DCC"/>
    <w:rsid w:val="005E1ED3"/>
    <w:rsid w:val="0062377A"/>
    <w:rsid w:val="00625079"/>
    <w:rsid w:val="006400A3"/>
    <w:rsid w:val="0064087B"/>
    <w:rsid w:val="00640ECE"/>
    <w:rsid w:val="00653E85"/>
    <w:rsid w:val="00655BD1"/>
    <w:rsid w:val="00656016"/>
    <w:rsid w:val="00656A94"/>
    <w:rsid w:val="00664ACD"/>
    <w:rsid w:val="00694C3B"/>
    <w:rsid w:val="006A7D30"/>
    <w:rsid w:val="006B28F7"/>
    <w:rsid w:val="006B345A"/>
    <w:rsid w:val="006B39CA"/>
    <w:rsid w:val="006C5016"/>
    <w:rsid w:val="006D282A"/>
    <w:rsid w:val="006E0C74"/>
    <w:rsid w:val="006E2FE3"/>
    <w:rsid w:val="006F43CA"/>
    <w:rsid w:val="0070247B"/>
    <w:rsid w:val="00713A5A"/>
    <w:rsid w:val="00716684"/>
    <w:rsid w:val="0072771F"/>
    <w:rsid w:val="00727DE5"/>
    <w:rsid w:val="00736846"/>
    <w:rsid w:val="00741789"/>
    <w:rsid w:val="00744BA3"/>
    <w:rsid w:val="00754DDF"/>
    <w:rsid w:val="00755D53"/>
    <w:rsid w:val="007574A3"/>
    <w:rsid w:val="007665C0"/>
    <w:rsid w:val="00767DA4"/>
    <w:rsid w:val="007771EE"/>
    <w:rsid w:val="00777379"/>
    <w:rsid w:val="00777D52"/>
    <w:rsid w:val="007873E5"/>
    <w:rsid w:val="00787953"/>
    <w:rsid w:val="007A142B"/>
    <w:rsid w:val="007A456D"/>
    <w:rsid w:val="007C08AD"/>
    <w:rsid w:val="007D16D0"/>
    <w:rsid w:val="007D3A2B"/>
    <w:rsid w:val="007D7BD0"/>
    <w:rsid w:val="007F1EFD"/>
    <w:rsid w:val="007F74C7"/>
    <w:rsid w:val="00803005"/>
    <w:rsid w:val="008064CD"/>
    <w:rsid w:val="0081476A"/>
    <w:rsid w:val="008223A1"/>
    <w:rsid w:val="00833DC5"/>
    <w:rsid w:val="008355D9"/>
    <w:rsid w:val="008428C3"/>
    <w:rsid w:val="00845A08"/>
    <w:rsid w:val="00860AAB"/>
    <w:rsid w:val="00870CD3"/>
    <w:rsid w:val="00881184"/>
    <w:rsid w:val="008817A7"/>
    <w:rsid w:val="008B2998"/>
    <w:rsid w:val="008B4AC0"/>
    <w:rsid w:val="008C3D98"/>
    <w:rsid w:val="008C6BB1"/>
    <w:rsid w:val="008E11A4"/>
    <w:rsid w:val="008F25CA"/>
    <w:rsid w:val="00907DC2"/>
    <w:rsid w:val="00915A86"/>
    <w:rsid w:val="00915E1E"/>
    <w:rsid w:val="00922140"/>
    <w:rsid w:val="00932817"/>
    <w:rsid w:val="00933ABF"/>
    <w:rsid w:val="00936EC7"/>
    <w:rsid w:val="00941082"/>
    <w:rsid w:val="00943DA2"/>
    <w:rsid w:val="00945F9F"/>
    <w:rsid w:val="009522FD"/>
    <w:rsid w:val="00953233"/>
    <w:rsid w:val="009645C7"/>
    <w:rsid w:val="009807F5"/>
    <w:rsid w:val="009824AD"/>
    <w:rsid w:val="00990D86"/>
    <w:rsid w:val="00994B4B"/>
    <w:rsid w:val="009963DC"/>
    <w:rsid w:val="009A3396"/>
    <w:rsid w:val="009A689F"/>
    <w:rsid w:val="009A7361"/>
    <w:rsid w:val="009B5F6C"/>
    <w:rsid w:val="009C042D"/>
    <w:rsid w:val="009D371D"/>
    <w:rsid w:val="009D4F90"/>
    <w:rsid w:val="009E557F"/>
    <w:rsid w:val="009F1064"/>
    <w:rsid w:val="009F2AFD"/>
    <w:rsid w:val="009F4378"/>
    <w:rsid w:val="009F5359"/>
    <w:rsid w:val="00A25C12"/>
    <w:rsid w:val="00A27796"/>
    <w:rsid w:val="00A27B51"/>
    <w:rsid w:val="00A40E2C"/>
    <w:rsid w:val="00A44393"/>
    <w:rsid w:val="00A57F7E"/>
    <w:rsid w:val="00A624DC"/>
    <w:rsid w:val="00A662F0"/>
    <w:rsid w:val="00A679BD"/>
    <w:rsid w:val="00A76C1C"/>
    <w:rsid w:val="00A80B5C"/>
    <w:rsid w:val="00A844BA"/>
    <w:rsid w:val="00A844EA"/>
    <w:rsid w:val="00AA4543"/>
    <w:rsid w:val="00AA5D01"/>
    <w:rsid w:val="00AB291D"/>
    <w:rsid w:val="00AB7673"/>
    <w:rsid w:val="00AD6E96"/>
    <w:rsid w:val="00AE4C09"/>
    <w:rsid w:val="00AF699F"/>
    <w:rsid w:val="00B01DDC"/>
    <w:rsid w:val="00B01E62"/>
    <w:rsid w:val="00B02E18"/>
    <w:rsid w:val="00B1640A"/>
    <w:rsid w:val="00B17441"/>
    <w:rsid w:val="00B23B82"/>
    <w:rsid w:val="00B533C5"/>
    <w:rsid w:val="00B548BB"/>
    <w:rsid w:val="00B55CB5"/>
    <w:rsid w:val="00B57C38"/>
    <w:rsid w:val="00B62B6D"/>
    <w:rsid w:val="00B65A0B"/>
    <w:rsid w:val="00B71743"/>
    <w:rsid w:val="00B73719"/>
    <w:rsid w:val="00B74489"/>
    <w:rsid w:val="00B82635"/>
    <w:rsid w:val="00B84AA9"/>
    <w:rsid w:val="00B932B3"/>
    <w:rsid w:val="00B97927"/>
    <w:rsid w:val="00BB0946"/>
    <w:rsid w:val="00BB3D00"/>
    <w:rsid w:val="00BC0C4B"/>
    <w:rsid w:val="00BD2DD5"/>
    <w:rsid w:val="00BE0D0D"/>
    <w:rsid w:val="00BE5B1C"/>
    <w:rsid w:val="00BF00C4"/>
    <w:rsid w:val="00BF19C6"/>
    <w:rsid w:val="00BF4854"/>
    <w:rsid w:val="00BF56C2"/>
    <w:rsid w:val="00BF70E1"/>
    <w:rsid w:val="00BF7568"/>
    <w:rsid w:val="00C00093"/>
    <w:rsid w:val="00C05C96"/>
    <w:rsid w:val="00C07092"/>
    <w:rsid w:val="00C102BB"/>
    <w:rsid w:val="00C16F5D"/>
    <w:rsid w:val="00C17CCF"/>
    <w:rsid w:val="00C20A2D"/>
    <w:rsid w:val="00C32643"/>
    <w:rsid w:val="00C35C8C"/>
    <w:rsid w:val="00C448FF"/>
    <w:rsid w:val="00C543E0"/>
    <w:rsid w:val="00C62DE4"/>
    <w:rsid w:val="00C66274"/>
    <w:rsid w:val="00C77059"/>
    <w:rsid w:val="00C85C48"/>
    <w:rsid w:val="00C86BB7"/>
    <w:rsid w:val="00C955A6"/>
    <w:rsid w:val="00C959B1"/>
    <w:rsid w:val="00C966EA"/>
    <w:rsid w:val="00C96F17"/>
    <w:rsid w:val="00CA2D5A"/>
    <w:rsid w:val="00CA44E6"/>
    <w:rsid w:val="00CA51A0"/>
    <w:rsid w:val="00CA63A7"/>
    <w:rsid w:val="00CA694C"/>
    <w:rsid w:val="00CB469E"/>
    <w:rsid w:val="00CC3DAE"/>
    <w:rsid w:val="00CC3E12"/>
    <w:rsid w:val="00CD1598"/>
    <w:rsid w:val="00CD18A5"/>
    <w:rsid w:val="00CE7028"/>
    <w:rsid w:val="00CF6B06"/>
    <w:rsid w:val="00D13AC8"/>
    <w:rsid w:val="00D2034E"/>
    <w:rsid w:val="00D214E1"/>
    <w:rsid w:val="00D215CB"/>
    <w:rsid w:val="00D24989"/>
    <w:rsid w:val="00D41B83"/>
    <w:rsid w:val="00D5086D"/>
    <w:rsid w:val="00D62C9A"/>
    <w:rsid w:val="00D66E37"/>
    <w:rsid w:val="00D83880"/>
    <w:rsid w:val="00D93115"/>
    <w:rsid w:val="00DA3161"/>
    <w:rsid w:val="00DA7B67"/>
    <w:rsid w:val="00DB4BC7"/>
    <w:rsid w:val="00DB673D"/>
    <w:rsid w:val="00DD5C84"/>
    <w:rsid w:val="00E01729"/>
    <w:rsid w:val="00E01B36"/>
    <w:rsid w:val="00E13150"/>
    <w:rsid w:val="00E2333D"/>
    <w:rsid w:val="00E2609A"/>
    <w:rsid w:val="00E32948"/>
    <w:rsid w:val="00E32C97"/>
    <w:rsid w:val="00E35F95"/>
    <w:rsid w:val="00E36FE7"/>
    <w:rsid w:val="00E400A2"/>
    <w:rsid w:val="00E40641"/>
    <w:rsid w:val="00E621E7"/>
    <w:rsid w:val="00E64711"/>
    <w:rsid w:val="00E654BD"/>
    <w:rsid w:val="00E67830"/>
    <w:rsid w:val="00E738F7"/>
    <w:rsid w:val="00E74605"/>
    <w:rsid w:val="00E81174"/>
    <w:rsid w:val="00E84E03"/>
    <w:rsid w:val="00E86A50"/>
    <w:rsid w:val="00E87DF1"/>
    <w:rsid w:val="00E972FF"/>
    <w:rsid w:val="00EA02D9"/>
    <w:rsid w:val="00EA32A0"/>
    <w:rsid w:val="00EA4FFF"/>
    <w:rsid w:val="00EB0DD2"/>
    <w:rsid w:val="00ED11B4"/>
    <w:rsid w:val="00EE4DCF"/>
    <w:rsid w:val="00F00D7E"/>
    <w:rsid w:val="00F047A2"/>
    <w:rsid w:val="00F1300A"/>
    <w:rsid w:val="00F1318B"/>
    <w:rsid w:val="00F139BA"/>
    <w:rsid w:val="00F16427"/>
    <w:rsid w:val="00F26754"/>
    <w:rsid w:val="00F432B1"/>
    <w:rsid w:val="00F62817"/>
    <w:rsid w:val="00F7127B"/>
    <w:rsid w:val="00F71596"/>
    <w:rsid w:val="00F729BA"/>
    <w:rsid w:val="00F72E13"/>
    <w:rsid w:val="00F72EAB"/>
    <w:rsid w:val="00F81E47"/>
    <w:rsid w:val="00F81EF0"/>
    <w:rsid w:val="00F84A81"/>
    <w:rsid w:val="00F907D5"/>
    <w:rsid w:val="00F94CF4"/>
    <w:rsid w:val="00FB5DD1"/>
    <w:rsid w:val="00FC53F3"/>
    <w:rsid w:val="00FC5DC5"/>
    <w:rsid w:val="00FD21F7"/>
    <w:rsid w:val="00FD7AF6"/>
    <w:rsid w:val="00FE0C27"/>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535B"/>
  <w15:docId w15:val="{A9427A95-366C-4BFE-9BBF-16020A4F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0"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77B67"/>
    <w:rPr>
      <w:rFonts w:ascii="Arial" w:hAnsi="Arial"/>
      <w:sz w:val="24"/>
    </w:rPr>
  </w:style>
  <w:style w:type="paragraph" w:styleId="berschrift1">
    <w:name w:val="heading 1"/>
    <w:basedOn w:val="Standard"/>
    <w:next w:val="Standard"/>
    <w:link w:val="berschrift1Zchn"/>
    <w:uiPriority w:val="9"/>
    <w:qFormat/>
    <w:rsid w:val="006F43CA"/>
    <w:pPr>
      <w:keepNext/>
      <w:keepLines/>
      <w:spacing w:before="240"/>
      <w:outlineLvl w:val="0"/>
    </w:pPr>
    <w:rPr>
      <w:rFonts w:eastAsiaTheme="majorEastAsia" w:cstheme="majorBidi"/>
      <w:b/>
      <w:szCs w:val="32"/>
    </w:rPr>
  </w:style>
  <w:style w:type="paragraph" w:styleId="berschrift2">
    <w:name w:val="heading 2"/>
    <w:basedOn w:val="Standard"/>
    <w:next w:val="Standard"/>
    <w:link w:val="berschrift2Zchn"/>
    <w:semiHidden/>
    <w:unhideWhenUsed/>
    <w:qFormat/>
    <w:rsid w:val="0071668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716684"/>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4320" w:h="2160" w:hRule="exact" w:hSpace="141" w:wrap="auto" w:hAnchor="page" w:xAlign="center" w:yAlign="bottom"/>
      <w:ind w:left="1"/>
    </w:pPr>
    <w:rPr>
      <w:rFonts w:ascii="Comic Sans MS" w:hAnsi="Comic Sans MS"/>
      <w:lang w:eastAsia="de-DE"/>
    </w:rPr>
  </w:style>
  <w:style w:type="paragraph" w:styleId="Kopfzeile">
    <w:name w:val="header"/>
    <w:basedOn w:val="Standard"/>
    <w:pPr>
      <w:tabs>
        <w:tab w:val="center" w:pos="4536"/>
        <w:tab w:val="right" w:pos="9072"/>
      </w:tabs>
    </w:pPr>
    <w:rPr>
      <w:lang w:eastAsia="de-DE"/>
    </w:rPr>
  </w:style>
  <w:style w:type="paragraph" w:styleId="Fuzeile">
    <w:name w:val="footer"/>
    <w:basedOn w:val="Standard"/>
    <w:link w:val="FuzeileZchn"/>
    <w:uiPriority w:val="99"/>
    <w:pPr>
      <w:tabs>
        <w:tab w:val="center" w:pos="4536"/>
        <w:tab w:val="right" w:pos="9072"/>
      </w:tabs>
    </w:pPr>
    <w:rPr>
      <w:lang w:eastAsia="de-DE"/>
    </w:rPr>
  </w:style>
  <w:style w:type="paragraph" w:styleId="Sprechblasentext">
    <w:name w:val="Balloon Text"/>
    <w:basedOn w:val="Standard"/>
    <w:semiHidden/>
    <w:rsid w:val="00201B6A"/>
    <w:rPr>
      <w:rFonts w:ascii="Tahoma" w:hAnsi="Tahoma" w:cs="Tahoma"/>
      <w:sz w:val="16"/>
      <w:szCs w:val="16"/>
      <w:lang w:eastAsia="de-DE"/>
    </w:rPr>
  </w:style>
  <w:style w:type="character" w:customStyle="1" w:styleId="FuzeileZchn">
    <w:name w:val="Fußzeile Zchn"/>
    <w:basedOn w:val="Absatz-Standardschriftart"/>
    <w:link w:val="Fuzeile"/>
    <w:uiPriority w:val="99"/>
    <w:rsid w:val="004A6875"/>
    <w:rPr>
      <w:rFonts w:ascii="Arial" w:hAnsi="Arial"/>
      <w:sz w:val="28"/>
      <w:lang w:val="de-DE" w:eastAsia="de-DE"/>
    </w:rPr>
  </w:style>
  <w:style w:type="character" w:customStyle="1" w:styleId="Formatvorlage1">
    <w:name w:val="Formatvorlage1"/>
    <w:basedOn w:val="Absatz-Standardschriftart"/>
    <w:uiPriority w:val="1"/>
    <w:rsid w:val="00C955A6"/>
    <w:rPr>
      <w:rFonts w:ascii="Arial" w:hAnsi="Arial"/>
      <w:b/>
      <w:sz w:val="28"/>
    </w:rPr>
  </w:style>
  <w:style w:type="character" w:styleId="Hyperlink">
    <w:name w:val="Hyperlink"/>
    <w:basedOn w:val="Absatz-Standardschriftart"/>
    <w:uiPriority w:val="99"/>
    <w:unhideWhenUsed/>
    <w:rsid w:val="00264E1E"/>
    <w:rPr>
      <w:color w:val="0000FF" w:themeColor="hyperlink"/>
      <w:u w:val="single"/>
    </w:rPr>
  </w:style>
  <w:style w:type="character" w:styleId="NichtaufgelsteErwhnung">
    <w:name w:val="Unresolved Mention"/>
    <w:basedOn w:val="Absatz-Standardschriftart"/>
    <w:uiPriority w:val="99"/>
    <w:semiHidden/>
    <w:unhideWhenUsed/>
    <w:rsid w:val="00264E1E"/>
    <w:rPr>
      <w:color w:val="808080"/>
      <w:shd w:val="clear" w:color="auto" w:fill="E6E6E6"/>
    </w:rPr>
  </w:style>
  <w:style w:type="character" w:styleId="Platzhaltertext">
    <w:name w:val="Placeholder Text"/>
    <w:basedOn w:val="Absatz-Standardschriftart"/>
    <w:uiPriority w:val="99"/>
    <w:semiHidden/>
    <w:rsid w:val="002A71FD"/>
    <w:rPr>
      <w:color w:val="808080"/>
    </w:rPr>
  </w:style>
  <w:style w:type="paragraph" w:customStyle="1" w:styleId="FormatvorlageTEXT02">
    <w:name w:val="FormatvorlageTEXT02"/>
    <w:basedOn w:val="Standard"/>
    <w:link w:val="FormatvorlageTEXT02Zchn"/>
    <w:rsid w:val="002A71FD"/>
    <w:pPr>
      <w:widowControl w:val="0"/>
      <w:textboxTightWrap w:val="allLines"/>
    </w:pPr>
    <w:rPr>
      <w:lang w:val="de-DE" w:eastAsia="de-DE"/>
    </w:rPr>
  </w:style>
  <w:style w:type="character" w:customStyle="1" w:styleId="FormatvorlageTEXT02Zchn">
    <w:name w:val="FormatvorlageTEXT02 Zchn"/>
    <w:basedOn w:val="Absatz-Standardschriftart"/>
    <w:link w:val="FormatvorlageTEXT02"/>
    <w:rsid w:val="002A71FD"/>
    <w:rPr>
      <w:rFonts w:ascii="Arial" w:hAnsi="Arial"/>
      <w:sz w:val="24"/>
      <w:lang w:val="de-DE" w:eastAsia="de-DE"/>
    </w:rPr>
  </w:style>
  <w:style w:type="character" w:customStyle="1" w:styleId="Betreff">
    <w:name w:val="Betreff"/>
    <w:basedOn w:val="Absatz-Standardschriftart"/>
    <w:uiPriority w:val="1"/>
    <w:qFormat/>
    <w:rsid w:val="002A71FD"/>
    <w:rPr>
      <w:rFonts w:ascii="Arial" w:hAnsi="Arial"/>
      <w:b/>
      <w:sz w:val="28"/>
    </w:rPr>
  </w:style>
  <w:style w:type="character" w:customStyle="1" w:styleId="Standart11Arial">
    <w:name w:val="Standart11Arial"/>
    <w:basedOn w:val="Absatz-Standardschriftart"/>
    <w:uiPriority w:val="1"/>
    <w:rsid w:val="00332057"/>
    <w:rPr>
      <w:rFonts w:ascii="Arial" w:hAnsi="Arial"/>
      <w:sz w:val="22"/>
    </w:rPr>
  </w:style>
  <w:style w:type="paragraph" w:customStyle="1" w:styleId="Standart11ArialAbsatz">
    <w:name w:val="Standart11ArialAbsatz"/>
    <w:basedOn w:val="Standard"/>
    <w:link w:val="Standart11ArialAbsatzZchn"/>
    <w:rsid w:val="009F4378"/>
  </w:style>
  <w:style w:type="character" w:customStyle="1" w:styleId="Standart11ArialAbsatzZchn">
    <w:name w:val="Standart11ArialAbsatz Zchn"/>
    <w:basedOn w:val="Absatz-Standardschriftart"/>
    <w:link w:val="Standart11ArialAbsatz"/>
    <w:rsid w:val="009F4378"/>
    <w:rPr>
      <w:rFonts w:ascii="Arial" w:hAnsi="Arial"/>
      <w:sz w:val="22"/>
    </w:rPr>
  </w:style>
  <w:style w:type="character" w:customStyle="1" w:styleId="Formatvorlage2">
    <w:name w:val="Formatvorlage2"/>
    <w:basedOn w:val="Absatz-Standardschriftart"/>
    <w:uiPriority w:val="1"/>
    <w:rsid w:val="00260BC3"/>
    <w:rPr>
      <w:rFonts w:ascii="Arial" w:hAnsi="Arial"/>
      <w:color w:val="auto"/>
      <w:sz w:val="22"/>
    </w:rPr>
  </w:style>
  <w:style w:type="character" w:customStyle="1" w:styleId="Formatvorlage3">
    <w:name w:val="Formatvorlage3"/>
    <w:basedOn w:val="Standart11ArialAbsatzZchn"/>
    <w:uiPriority w:val="1"/>
    <w:rsid w:val="00AD6E96"/>
    <w:rPr>
      <w:rFonts w:ascii="Arial" w:hAnsi="Arial"/>
      <w:sz w:val="22"/>
    </w:rPr>
  </w:style>
  <w:style w:type="character" w:customStyle="1" w:styleId="Betreff14Arialfett">
    <w:name w:val="Betreff14Arial_fett"/>
    <w:basedOn w:val="Absatz-Standardschriftart"/>
    <w:uiPriority w:val="1"/>
    <w:rsid w:val="000B596F"/>
    <w:rPr>
      <w:rFonts w:ascii="Arial" w:hAnsi="Arial"/>
      <w:b/>
      <w:color w:val="auto"/>
      <w:sz w:val="28"/>
    </w:rPr>
  </w:style>
  <w:style w:type="character" w:styleId="Fett">
    <w:name w:val="Strong"/>
    <w:basedOn w:val="Absatz-Standardschriftart"/>
    <w:qFormat/>
    <w:rsid w:val="0026497C"/>
    <w:rPr>
      <w:rFonts w:ascii="Arial" w:hAnsi="Arial"/>
      <w:b/>
      <w:bCs/>
      <w:sz w:val="24"/>
    </w:rPr>
  </w:style>
  <w:style w:type="paragraph" w:styleId="Titel">
    <w:name w:val="Title"/>
    <w:basedOn w:val="Standard"/>
    <w:next w:val="Standard"/>
    <w:link w:val="TitelZchn"/>
    <w:qFormat/>
    <w:rsid w:val="002D3D59"/>
    <w:pPr>
      <w:contextualSpacing/>
    </w:pPr>
    <w:rPr>
      <w:rFonts w:eastAsiaTheme="majorEastAsia" w:cstheme="majorBidi"/>
      <w:kern w:val="28"/>
      <w:sz w:val="36"/>
      <w:szCs w:val="56"/>
    </w:rPr>
  </w:style>
  <w:style w:type="character" w:customStyle="1" w:styleId="TitelZchn">
    <w:name w:val="Titel Zchn"/>
    <w:basedOn w:val="Absatz-Standardschriftart"/>
    <w:link w:val="Titel"/>
    <w:rsid w:val="002D3D59"/>
    <w:rPr>
      <w:rFonts w:ascii="Arial" w:eastAsiaTheme="majorEastAsia" w:hAnsi="Arial" w:cstheme="majorBidi"/>
      <w:kern w:val="28"/>
      <w:sz w:val="36"/>
      <w:szCs w:val="56"/>
    </w:rPr>
  </w:style>
  <w:style w:type="character" w:customStyle="1" w:styleId="berschrift1Zchn">
    <w:name w:val="Überschrift 1 Zchn"/>
    <w:basedOn w:val="Absatz-Standardschriftart"/>
    <w:link w:val="berschrift1"/>
    <w:uiPriority w:val="9"/>
    <w:rsid w:val="006F43CA"/>
    <w:rPr>
      <w:rFonts w:ascii="Arial" w:eastAsiaTheme="majorEastAsia" w:hAnsi="Arial" w:cstheme="majorBidi"/>
      <w:b/>
      <w:sz w:val="24"/>
      <w:szCs w:val="32"/>
    </w:rPr>
  </w:style>
  <w:style w:type="paragraph" w:styleId="Untertitel">
    <w:name w:val="Subtitle"/>
    <w:basedOn w:val="Standard"/>
    <w:next w:val="Standard"/>
    <w:link w:val="UntertitelZchn"/>
    <w:qFormat/>
    <w:rsid w:val="002D3D59"/>
    <w:pPr>
      <w:numPr>
        <w:ilvl w:val="1"/>
      </w:numPr>
      <w:spacing w:before="360" w:after="120"/>
    </w:pPr>
    <w:rPr>
      <w:rFonts w:eastAsiaTheme="minorEastAsia" w:cstheme="minorBidi"/>
      <w:b/>
      <w:szCs w:val="22"/>
    </w:rPr>
  </w:style>
  <w:style w:type="character" w:customStyle="1" w:styleId="UntertitelZchn">
    <w:name w:val="Untertitel Zchn"/>
    <w:basedOn w:val="Absatz-Standardschriftart"/>
    <w:link w:val="Untertitel"/>
    <w:rsid w:val="002D3D59"/>
    <w:rPr>
      <w:rFonts w:ascii="Arial" w:eastAsiaTheme="minorEastAsia" w:hAnsi="Arial" w:cstheme="minorBidi"/>
      <w:b/>
      <w:sz w:val="28"/>
      <w:szCs w:val="22"/>
    </w:rPr>
  </w:style>
  <w:style w:type="paragraph" w:customStyle="1" w:styleId="BriefAbstand">
    <w:name w:val="BriefAbstand"/>
    <w:basedOn w:val="Standard"/>
    <w:link w:val="BriefAbstandZchn"/>
    <w:qFormat/>
    <w:rsid w:val="00E400A2"/>
    <w:rPr>
      <w:sz w:val="28"/>
    </w:rPr>
  </w:style>
  <w:style w:type="paragraph" w:customStyle="1" w:styleId="AbsenderKlein">
    <w:name w:val="AbsenderKlein"/>
    <w:basedOn w:val="Standard"/>
    <w:link w:val="AbsenderKleinZchn"/>
    <w:qFormat/>
    <w:rsid w:val="00080539"/>
    <w:rPr>
      <w:noProof/>
      <w:sz w:val="14"/>
      <w:szCs w:val="22"/>
      <w:u w:val="single"/>
    </w:rPr>
  </w:style>
  <w:style w:type="character" w:customStyle="1" w:styleId="BriefAbstandZchn">
    <w:name w:val="BriefAbstand Zchn"/>
    <w:basedOn w:val="Absatz-Standardschriftart"/>
    <w:link w:val="BriefAbstand"/>
    <w:rsid w:val="00E400A2"/>
    <w:rPr>
      <w:rFonts w:ascii="Arial" w:hAnsi="Arial"/>
      <w:sz w:val="28"/>
    </w:rPr>
  </w:style>
  <w:style w:type="character" w:customStyle="1" w:styleId="AbsenderKleinZchn">
    <w:name w:val="AbsenderKlein Zchn"/>
    <w:basedOn w:val="Absatz-Standardschriftart"/>
    <w:link w:val="AbsenderKlein"/>
    <w:rsid w:val="00080539"/>
    <w:rPr>
      <w:rFonts w:ascii="Arial" w:hAnsi="Arial"/>
      <w:noProof/>
      <w:sz w:val="14"/>
      <w:szCs w:val="22"/>
      <w:u w:val="single"/>
    </w:rPr>
  </w:style>
  <w:style w:type="paragraph" w:styleId="Textkrper">
    <w:name w:val="Body Text"/>
    <w:basedOn w:val="Standard"/>
    <w:link w:val="TextkrperZchn"/>
    <w:uiPriority w:val="10"/>
    <w:rsid w:val="007D16D0"/>
    <w:pPr>
      <w:overflowPunct w:val="0"/>
      <w:autoSpaceDE w:val="0"/>
      <w:autoSpaceDN w:val="0"/>
      <w:adjustRightInd w:val="0"/>
      <w:spacing w:after="120"/>
      <w:textAlignment w:val="baseline"/>
    </w:pPr>
    <w:rPr>
      <w:rFonts w:asciiTheme="minorHAnsi" w:hAnsiTheme="minorHAnsi"/>
      <w:lang w:eastAsia="en-US"/>
    </w:rPr>
  </w:style>
  <w:style w:type="character" w:customStyle="1" w:styleId="TextkrperZchn">
    <w:name w:val="Textkörper Zchn"/>
    <w:basedOn w:val="Absatz-Standardschriftart"/>
    <w:link w:val="Textkrper"/>
    <w:uiPriority w:val="10"/>
    <w:rsid w:val="007D16D0"/>
    <w:rPr>
      <w:rFonts w:asciiTheme="minorHAnsi" w:hAnsiTheme="minorHAnsi"/>
      <w:sz w:val="22"/>
      <w:lang w:eastAsia="en-US"/>
    </w:rPr>
  </w:style>
  <w:style w:type="paragraph" w:styleId="Listenabsatz">
    <w:name w:val="List Paragraph"/>
    <w:basedOn w:val="Standard"/>
    <w:uiPriority w:val="1"/>
    <w:qFormat/>
    <w:rsid w:val="00755D53"/>
    <w:pPr>
      <w:spacing w:before="240" w:after="240" w:line="259" w:lineRule="auto"/>
      <w:jc w:val="both"/>
    </w:pPr>
  </w:style>
  <w:style w:type="paragraph" w:styleId="Funotentext">
    <w:name w:val="footnote text"/>
    <w:aliases w:val="5_G,Footnote Text Char Char Char Char Char,Footnote Text Char Char Char Char,Footnote reference,FA Fu,Footnote Text Char Char Char,Footnote Text Char Char Char Char Char Char Char Char,Fußnotentext RAXEN,footnotes,Char,fn,FN"/>
    <w:basedOn w:val="Standard"/>
    <w:link w:val="FunotentextZchn"/>
    <w:unhideWhenUsed/>
    <w:qFormat/>
    <w:rsid w:val="00450F62"/>
    <w:rPr>
      <w:sz w:val="20"/>
    </w:rPr>
  </w:style>
  <w:style w:type="character" w:customStyle="1" w:styleId="FunotentextZchn">
    <w:name w:val="Fußnotentext Zchn"/>
    <w:aliases w:val="5_G Zchn,Footnote Text Char Char Char Char Char Zchn,Footnote Text Char Char Char Char Zchn,Footnote reference Zchn,FA Fu Zchn,Footnote Text Char Char Char Zchn,Footnote Text Char Char Char Char Char Char Char Char Zchn,footnotes Zchn"/>
    <w:basedOn w:val="Absatz-Standardschriftart"/>
    <w:link w:val="Funotentext"/>
    <w:qFormat/>
    <w:rsid w:val="00450F62"/>
    <w:rPr>
      <w:rFonts w:ascii="Arial" w:hAnsi="Arial"/>
    </w:rPr>
  </w:style>
  <w:style w:type="character" w:styleId="Funotenzeichen">
    <w:name w:val="footnote reference"/>
    <w:aliases w:val="4_G,Footnote number,4_G Char Char Char Char,Footnotes refss Char Char Char Char,ftref Char Char Char Char,BVI fnr Char Char Char Char,BVI fnr Car Car Char Char Char Char,BVI fnr Car Char Char Char Char,Footnotes refss,Footnote,NO"/>
    <w:basedOn w:val="Absatz-Standardschriftart"/>
    <w:link w:val="4GCharCharChar"/>
    <w:unhideWhenUsed/>
    <w:qFormat/>
    <w:rsid w:val="00450F62"/>
    <w:rPr>
      <w:color w:val="auto"/>
      <w:vertAlign w:val="superscript"/>
    </w:rPr>
  </w:style>
  <w:style w:type="character" w:customStyle="1" w:styleId="berschrift2Zchn">
    <w:name w:val="Überschrift 2 Zchn"/>
    <w:basedOn w:val="Absatz-Standardschriftart"/>
    <w:link w:val="berschrift2"/>
    <w:semiHidden/>
    <w:rsid w:val="00716684"/>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semiHidden/>
    <w:rsid w:val="00716684"/>
    <w:rPr>
      <w:rFonts w:asciiTheme="majorHAnsi" w:eastAsiaTheme="majorEastAsia" w:hAnsiTheme="majorHAnsi" w:cstheme="majorBidi"/>
      <w:color w:val="243F60" w:themeColor="accent1" w:themeShade="7F"/>
      <w:sz w:val="24"/>
      <w:szCs w:val="24"/>
    </w:rPr>
  </w:style>
  <w:style w:type="paragraph" w:styleId="Inhaltsverzeichnisberschrift">
    <w:name w:val="TOC Heading"/>
    <w:basedOn w:val="berschrift1"/>
    <w:next w:val="Standard"/>
    <w:uiPriority w:val="39"/>
    <w:unhideWhenUsed/>
    <w:qFormat/>
    <w:rsid w:val="00BE0D0D"/>
    <w:pPr>
      <w:spacing w:line="259" w:lineRule="auto"/>
      <w:outlineLvl w:val="9"/>
    </w:pPr>
    <w:rPr>
      <w:rFonts w:asciiTheme="majorHAnsi" w:hAnsiTheme="majorHAnsi"/>
      <w:b w:val="0"/>
      <w:color w:val="365F91" w:themeColor="accent1" w:themeShade="BF"/>
      <w:sz w:val="32"/>
    </w:rPr>
  </w:style>
  <w:style w:type="paragraph" w:styleId="Verzeichnis1">
    <w:name w:val="toc 1"/>
    <w:basedOn w:val="Standard"/>
    <w:next w:val="Standard"/>
    <w:autoRedefine/>
    <w:uiPriority w:val="39"/>
    <w:unhideWhenUsed/>
    <w:rsid w:val="00BE0D0D"/>
    <w:pPr>
      <w:spacing w:after="100"/>
    </w:pPr>
  </w:style>
  <w:style w:type="paragraph" w:styleId="Verzeichnis2">
    <w:name w:val="toc 2"/>
    <w:basedOn w:val="Standard"/>
    <w:next w:val="Standard"/>
    <w:autoRedefine/>
    <w:uiPriority w:val="39"/>
    <w:unhideWhenUsed/>
    <w:rsid w:val="00BE0D0D"/>
    <w:pPr>
      <w:spacing w:after="100"/>
      <w:ind w:left="240"/>
    </w:pPr>
  </w:style>
  <w:style w:type="paragraph" w:styleId="Verzeichnis3">
    <w:name w:val="toc 3"/>
    <w:basedOn w:val="Standard"/>
    <w:next w:val="Standard"/>
    <w:autoRedefine/>
    <w:uiPriority w:val="39"/>
    <w:unhideWhenUsed/>
    <w:rsid w:val="00BE0D0D"/>
    <w:pPr>
      <w:spacing w:after="100"/>
      <w:ind w:left="480"/>
    </w:p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Standard"/>
    <w:link w:val="Funotenzeichen"/>
    <w:autoRedefine/>
    <w:qFormat/>
    <w:rsid w:val="00A679BD"/>
    <w:pPr>
      <w:spacing w:before="120" w:after="160" w:line="240" w:lineRule="exact"/>
      <w:jc w:val="both"/>
    </w:pPr>
    <w:rPr>
      <w:rFonts w:ascii="Times New Roman" w:hAnsi="Times New Roman"/>
      <w:sz w:val="20"/>
      <w:vertAlign w:val="superscript"/>
    </w:rPr>
  </w:style>
  <w:style w:type="character" w:styleId="BesuchterLink">
    <w:name w:val="FollowedHyperlink"/>
    <w:basedOn w:val="Absatz-Standardschriftart"/>
    <w:semiHidden/>
    <w:unhideWhenUsed/>
    <w:rsid w:val="00C770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715195">
      <w:bodyDiv w:val="1"/>
      <w:marLeft w:val="0"/>
      <w:marRight w:val="0"/>
      <w:marTop w:val="0"/>
      <w:marBottom w:val="0"/>
      <w:divBdr>
        <w:top w:val="none" w:sz="0" w:space="0" w:color="auto"/>
        <w:left w:val="none" w:sz="0" w:space="0" w:color="auto"/>
        <w:bottom w:val="none" w:sz="0" w:space="0" w:color="auto"/>
        <w:right w:val="none" w:sz="0" w:space="0" w:color="auto"/>
      </w:divBdr>
    </w:div>
    <w:div w:id="1503621448">
      <w:bodyDiv w:val="1"/>
      <w:marLeft w:val="0"/>
      <w:marRight w:val="0"/>
      <w:marTop w:val="0"/>
      <w:marBottom w:val="0"/>
      <w:divBdr>
        <w:top w:val="none" w:sz="0" w:space="0" w:color="auto"/>
        <w:left w:val="none" w:sz="0" w:space="0" w:color="auto"/>
        <w:bottom w:val="none" w:sz="0" w:space="0" w:color="auto"/>
        <w:right w:val="none" w:sz="0" w:space="0" w:color="auto"/>
      </w:divBdr>
    </w:div>
    <w:div w:id="1534996941">
      <w:bodyDiv w:val="1"/>
      <w:marLeft w:val="0"/>
      <w:marRight w:val="0"/>
      <w:marTop w:val="0"/>
      <w:marBottom w:val="0"/>
      <w:divBdr>
        <w:top w:val="none" w:sz="0" w:space="0" w:color="auto"/>
        <w:left w:val="none" w:sz="0" w:space="0" w:color="auto"/>
        <w:bottom w:val="none" w:sz="0" w:space="0" w:color="auto"/>
        <w:right w:val="none" w:sz="0" w:space="0" w:color="auto"/>
      </w:divBdr>
    </w:div>
    <w:div w:id="172683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id@bj.admin.ch" TargetMode="External"/><Relationship Id="rId13" Type="http://schemas.openxmlformats.org/officeDocument/2006/relationships/hyperlink" Target="https://www.parlament.ch/de/ratsbetrieb/suche-curia-vista/geschaeft?AffairId=20243324" TargetMode="External"/><Relationship Id="rId18" Type="http://schemas.openxmlformats.org/officeDocument/2006/relationships/hyperlink" Target="https://www.parlament.ch/de/ratsbetrieb/suche-curia-vista/geschaeft?AffairId=20253007"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www.parlament.ch/de/ratsbetrieb/suche-curia-vista/geschaeft?AffairId=20243003" TargetMode="External"/><Relationship Id="rId17" Type="http://schemas.openxmlformats.org/officeDocument/2006/relationships/hyperlink" Target="https://www.parlament.ch/de/ratsbetrieb/suche-curia-vista/geschaeft?AffairId=2025301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arlament.ch/de/ratsbetrieb/suche-curia-vista/geschaeft?AffairId=20224262"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parlament.ch/de/ratsbetrieb/suche-curia-vista/geschaeft?AffairId=20224261"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file:///P:\Kommunikation\GST\Corporate%20Communications\Stellungnahmen%20VLA\2025_-basus25I04_Gegenvorschlag\JAN_Basis%2025I04%20definitiv%20vernehmlassungsantwort_gegenvorschlag.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arlament.ch/de/ratsbetrieb/suche-curia-vista/geschaeft?AffairId=20120409"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ge.ch/document/consultation-publique-avant-projet-loi-egalite-droits-personnes-situation-handicap-cours" TargetMode="External"/><Relationship Id="rId7" Type="http://schemas.openxmlformats.org/officeDocument/2006/relationships/hyperlink" Target="file:///C:\Users\dlehmann\Downloads\11_22D_eBericht%2520(1).pdf" TargetMode="External"/><Relationship Id="rId2" Type="http://schemas.openxmlformats.org/officeDocument/2006/relationships/hyperlink" Target="https://www.efk.admin.ch/prufung/massnahmen-im-bereich-selbstbestimmtes-wohnen-fur-menschen-mit-behinderungen/" TargetMode="External"/><Relationship Id="rId1" Type="http://schemas.openxmlformats.org/officeDocument/2006/relationships/hyperlink" Target="https://www.bfs.admin.ch/bfs/de/home/statistiken/wirtschaftliche-soziale-situation-bevoelkerung/gleichstellung-menschen-behinderungen/behinderungen.html" TargetMode="External"/><Relationship Id="rId6" Type="http://schemas.openxmlformats.org/officeDocument/2006/relationships/hyperlink" Target="https://www.efk.admin.ch/prufung/massnahmen-im-bereich-selbstbestimmtes-wohnen-fur-menschen-mit-behinderungen/" TargetMode="External"/><Relationship Id="rId5" Type="http://schemas.openxmlformats.org/officeDocument/2006/relationships/hyperlink" Target="https://www.ge.ch/document/consultation-publique-avant-projet-loi-egalite-droits-personnes-situation-handicap-cours" TargetMode="External"/><Relationship Id="rId4" Type="http://schemas.openxmlformats.org/officeDocument/2006/relationships/hyperlink" Target="https://www.bsv.admin.ch/bsv/de/home/sozialversicherungen/iv/statistik.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523411A5FE4AF8BAED221D01F57ED2"/>
        <w:category>
          <w:name w:val="Allgemein"/>
          <w:gallery w:val="placeholder"/>
        </w:category>
        <w:types>
          <w:type w:val="bbPlcHdr"/>
        </w:types>
        <w:behaviors>
          <w:behavior w:val="content"/>
        </w:behaviors>
        <w:guid w:val="{B13AC2BA-140B-4B61-9D90-50CD959B1CA9}"/>
      </w:docPartPr>
      <w:docPartBody>
        <w:p w:rsidR="00386401" w:rsidRDefault="00386401">
          <w:pPr>
            <w:pStyle w:val="8A523411A5FE4AF8BAED221D01F57ED2"/>
          </w:pPr>
          <w:r w:rsidRPr="007968BB">
            <w:rPr>
              <w:rStyle w:val="Platzhaltertext"/>
              <w:sz w:val="24"/>
              <w:szCs w:val="24"/>
            </w:rPr>
            <w:t>Datum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Frutiger Neue 1450 Pro Regular">
    <w:altName w:val="Calibri"/>
    <w:charset w:val="00"/>
    <w:family w:val="swiss"/>
    <w:pitch w:val="variable"/>
    <w:sig w:usb0="A00000AF" w:usb1="5000207B" w:usb2="00000000" w:usb3="00000000" w:csb0="00000093"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mic Sans MS">
    <w:altName w:val="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401"/>
    <w:rsid w:val="000136D5"/>
    <w:rsid w:val="00371872"/>
    <w:rsid w:val="00386401"/>
    <w:rsid w:val="00655BD1"/>
    <w:rsid w:val="00656A94"/>
    <w:rsid w:val="006A2B8B"/>
    <w:rsid w:val="007771EE"/>
    <w:rsid w:val="007A142B"/>
    <w:rsid w:val="008428C3"/>
    <w:rsid w:val="00935C9D"/>
    <w:rsid w:val="00AE4C09"/>
    <w:rsid w:val="00B1640A"/>
    <w:rsid w:val="00B55CB5"/>
    <w:rsid w:val="00B71743"/>
    <w:rsid w:val="00CC3D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8A523411A5FE4AF8BAED221D01F57ED2">
    <w:name w:val="8A523411A5FE4AF8BAED221D01F57E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961C2-2124-4083-B7CA-46191C53C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12737</Words>
  <Characters>80248</Characters>
  <Application>Microsoft Office Word</Application>
  <DocSecurity>0</DocSecurity>
  <Lines>668</Lines>
  <Paragraphs>185</Paragraphs>
  <ScaleCrop>false</ScaleCrop>
  <HeadingPairs>
    <vt:vector size="2" baseType="variant">
      <vt:variant>
        <vt:lpstr>Titel</vt:lpstr>
      </vt:variant>
      <vt:variant>
        <vt:i4>1</vt:i4>
      </vt:variant>
    </vt:vector>
  </HeadingPairs>
  <TitlesOfParts>
    <vt:vector size="1" baseType="lpstr">
      <vt:lpstr/>
    </vt:vector>
  </TitlesOfParts>
  <Company>Zürich</Company>
  <LinksUpToDate>false</LinksUpToDate>
  <CharactersWithSpaces>92800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Angehrn Julia</dc:creator>
  <cp:lastModifiedBy>Angehrn Julia</cp:lastModifiedBy>
  <cp:revision>2</cp:revision>
  <cp:lastPrinted>2020-08-27T12:27:00Z</cp:lastPrinted>
  <dcterms:created xsi:type="dcterms:W3CDTF">2025-10-16T07:20:00Z</dcterms:created>
  <dcterms:modified xsi:type="dcterms:W3CDTF">2025-10-16T07:20:00Z</dcterms:modified>
</cp:coreProperties>
</file>